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975C47" w:rsidRPr="008E012B" w:rsidRDefault="00975C47" w:rsidP="00975C47">
      <w:pPr>
        <w:rPr>
          <w:b/>
        </w:rPr>
      </w:pPr>
      <w:bookmarkStart w:id="0" w:name="_GoBack"/>
      <w:bookmarkEnd w:id="0"/>
      <w:r>
        <w:rPr>
          <w:noProof/>
        </w:rPr>
        <w:drawing>
          <wp:anchor distT="0" distB="0" distL="114300" distR="114300" simplePos="0" relativeHeight="251659264" behindDoc="0" locked="0" layoutInCell="1" allowOverlap="1" wp14:anchorId="3167CC43" wp14:editId="761401AD">
            <wp:simplePos x="0" y="0"/>
            <wp:positionH relativeFrom="column">
              <wp:posOffset>-104775</wp:posOffset>
            </wp:positionH>
            <wp:positionV relativeFrom="paragraph">
              <wp:posOffset>182880</wp:posOffset>
            </wp:positionV>
            <wp:extent cx="949325" cy="422275"/>
            <wp:effectExtent l="0" t="0" r="0" b="0"/>
            <wp:wrapSquare wrapText="bothSides"/>
            <wp:docPr id="2" name="Image 1" descr="logo cneprt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Image 2" descr="logo cneprt2"/>
                    <pic:cNvPicPr>
                      <a:picLocks/>
                    </pic:cNvPicPr>
                  </pic:nvPicPr>
                  <pic:blipFill>
                    <a:blip r:embed="rId4" cstate="print">
                      <a:extLst>
                        <a:ext uri="{28A0092B-C50C-407E-A947-70E740481C1C}">
                          <a14:useLocalDpi xmlns:a14="http://schemas.microsoft.com/office/drawing/2010/main" val="0"/>
                        </a:ext>
                      </a:extLst>
                    </a:blip>
                    <a:srcRect b="10448"/>
                    <a:stretch>
                      <a:fillRect/>
                    </a:stretch>
                  </pic:blipFill>
                  <pic:spPr bwMode="auto">
                    <a:xfrm>
                      <a:off x="0" y="0"/>
                      <a:ext cx="949325" cy="422275"/>
                    </a:xfrm>
                    <a:prstGeom prst="rect">
                      <a:avLst/>
                    </a:prstGeom>
                    <a:noFill/>
                    <a:ln>
                      <a:noFill/>
                    </a:ln>
                  </pic:spPr>
                </pic:pic>
              </a:graphicData>
            </a:graphic>
            <wp14:sizeRelH relativeFrom="page">
              <wp14:pctWidth>0</wp14:pctWidth>
            </wp14:sizeRelH>
            <wp14:sizeRelV relativeFrom="page">
              <wp14:pctHeight>0</wp14:pctHeight>
            </wp14:sizeRelV>
          </wp:anchor>
        </w:drawing>
      </w:r>
      <w:bookmarkStart w:id="1" w:name="OLE_LINK2"/>
      <w:bookmarkStart w:id="2" w:name="OLE_LINK1"/>
    </w:p>
    <w:p w:rsidR="00975C47" w:rsidRPr="008E012B" w:rsidRDefault="00975C47" w:rsidP="00975C47">
      <w:pPr>
        <w:rPr>
          <w:b/>
        </w:rPr>
        <w:sectPr w:rsidR="00975C47" w:rsidRPr="008E012B" w:rsidSect="005771AD">
          <w:footerReference w:type="default" r:id="rId5"/>
          <w:pgSz w:w="11906" w:h="16838"/>
          <w:pgMar w:top="357" w:right="748" w:bottom="1418" w:left="902" w:header="0" w:footer="709" w:gutter="0"/>
          <w:cols w:num="2" w:space="720" w:equalWidth="0">
            <w:col w:w="4774" w:space="708"/>
            <w:col w:w="4774"/>
          </w:cols>
          <w:docGrid w:linePitch="299"/>
        </w:sectPr>
      </w:pPr>
    </w:p>
    <w:bookmarkEnd w:id="1"/>
    <w:bookmarkEnd w:id="2"/>
    <w:p w:rsidR="00975C47" w:rsidRPr="00E012F0" w:rsidRDefault="00975C47" w:rsidP="00975C47">
      <w:pPr>
        <w:rPr>
          <w:b/>
          <w:sz w:val="48"/>
          <w:szCs w:val="48"/>
        </w:rPr>
      </w:pPr>
      <w:r w:rsidRPr="00E012F0">
        <w:rPr>
          <w:b/>
          <w:sz w:val="48"/>
          <w:szCs w:val="48"/>
        </w:rPr>
        <w:t>La Lettre du C N P E R T</w:t>
      </w:r>
    </w:p>
    <w:p w:rsidR="00975C47" w:rsidRPr="0048220C" w:rsidRDefault="00975C47" w:rsidP="00975C47">
      <w:r w:rsidRPr="008E012B">
        <w:rPr>
          <w:b/>
        </w:rPr>
        <w:t>C</w:t>
      </w:r>
      <w:r w:rsidRPr="008E012B">
        <w:t xml:space="preserve">entre </w:t>
      </w:r>
      <w:r w:rsidRPr="008E012B">
        <w:rPr>
          <w:b/>
        </w:rPr>
        <w:t>N</w:t>
      </w:r>
      <w:r w:rsidRPr="008E012B">
        <w:t>ational de</w:t>
      </w:r>
      <w:r w:rsidRPr="008E012B">
        <w:rPr>
          <w:b/>
        </w:rPr>
        <w:t xml:space="preserve"> P</w:t>
      </w:r>
      <w:r w:rsidRPr="008E012B">
        <w:t>révention, d</w:t>
      </w:r>
      <w:r w:rsidRPr="008E012B">
        <w:rPr>
          <w:b/>
        </w:rPr>
        <w:t>'</w:t>
      </w:r>
      <w:proofErr w:type="spellStart"/>
      <w:r w:rsidRPr="008E012B">
        <w:rPr>
          <w:b/>
        </w:rPr>
        <w:t>E</w:t>
      </w:r>
      <w:r w:rsidRPr="008E012B">
        <w:t>tudes</w:t>
      </w:r>
      <w:proofErr w:type="spellEnd"/>
      <w:r w:rsidRPr="008E012B">
        <w:t xml:space="preserve"> et de </w:t>
      </w:r>
      <w:r w:rsidRPr="008E012B">
        <w:rPr>
          <w:b/>
        </w:rPr>
        <w:t>R</w:t>
      </w:r>
      <w:r w:rsidRPr="008E012B">
        <w:t xml:space="preserve">echerches sur les </w:t>
      </w:r>
      <w:r w:rsidRPr="008E012B">
        <w:rPr>
          <w:b/>
          <w:bCs/>
        </w:rPr>
        <w:t>T</w:t>
      </w:r>
      <w:r w:rsidRPr="008E012B">
        <w:rPr>
          <w:bCs/>
        </w:rPr>
        <w:t>oxicomanies</w:t>
      </w:r>
    </w:p>
    <w:p w:rsidR="00975C47" w:rsidRDefault="00975C47" w:rsidP="00975C47">
      <w:pPr>
        <w:spacing w:line="240" w:lineRule="auto"/>
      </w:pPr>
      <w:r w:rsidRPr="008E012B">
        <w:rPr>
          <w:b/>
          <w:i/>
          <w:sz w:val="24"/>
          <w:szCs w:val="24"/>
        </w:rPr>
        <w:t xml:space="preserve"> S’il faut être attentif à l’état de la planète que nous </w:t>
      </w:r>
      <w:r w:rsidRPr="008E012B">
        <w:t xml:space="preserve">    </w:t>
      </w:r>
      <w:r>
        <w:t xml:space="preserve">                        </w:t>
      </w:r>
      <w:r w:rsidRPr="0032735A">
        <w:rPr>
          <w:b/>
          <w:sz w:val="28"/>
          <w:szCs w:val="28"/>
        </w:rPr>
        <w:t xml:space="preserve">  </w:t>
      </w:r>
      <w:r>
        <w:rPr>
          <w:b/>
          <w:sz w:val="28"/>
          <w:szCs w:val="28"/>
        </w:rPr>
        <w:t xml:space="preserve">Lettre N° LXXXV             </w:t>
      </w:r>
      <w:r w:rsidRPr="008E012B">
        <w:rPr>
          <w:b/>
          <w:i/>
          <w:sz w:val="24"/>
          <w:szCs w:val="24"/>
        </w:rPr>
        <w:t>léguerons à nos enfants, il est majeur de nous</w:t>
      </w:r>
      <w:r w:rsidRPr="008E012B">
        <w:t xml:space="preserve">                              </w:t>
      </w:r>
      <w:r>
        <w:t xml:space="preserve">            </w:t>
      </w:r>
      <w:r w:rsidRPr="008E012B">
        <w:t xml:space="preserve"> Président Pr. J. Costenti</w:t>
      </w:r>
      <w:r>
        <w:t xml:space="preserve">n                 </w:t>
      </w:r>
      <w:r w:rsidRPr="008E012B">
        <w:rPr>
          <w:b/>
          <w:i/>
          <w:sz w:val="24"/>
          <w:szCs w:val="24"/>
        </w:rPr>
        <w:t>préo</w:t>
      </w:r>
      <w:r>
        <w:rPr>
          <w:b/>
          <w:i/>
          <w:sz w:val="24"/>
          <w:szCs w:val="24"/>
        </w:rPr>
        <w:t>c</w:t>
      </w:r>
      <w:r w:rsidRPr="008E012B">
        <w:rPr>
          <w:b/>
          <w:i/>
          <w:sz w:val="24"/>
          <w:szCs w:val="24"/>
        </w:rPr>
        <w:t>cuper de</w:t>
      </w:r>
      <w:r>
        <w:rPr>
          <w:b/>
          <w:i/>
          <w:sz w:val="24"/>
          <w:szCs w:val="24"/>
        </w:rPr>
        <w:t xml:space="preserve"> l’état des enfants que nous lui </w:t>
      </w:r>
      <w:r w:rsidRPr="008E012B">
        <w:rPr>
          <w:b/>
          <w:i/>
          <w:sz w:val="24"/>
          <w:szCs w:val="24"/>
        </w:rPr>
        <w:t>légueron</w:t>
      </w:r>
      <w:r>
        <w:rPr>
          <w:b/>
          <w:i/>
          <w:sz w:val="24"/>
          <w:szCs w:val="24"/>
        </w:rPr>
        <w:t xml:space="preserve">s             </w:t>
      </w:r>
      <w:proofErr w:type="spellStart"/>
      <w:r w:rsidRPr="008E012B">
        <w:t>Edit</w:t>
      </w:r>
      <w:r>
        <w:t>eur</w:t>
      </w:r>
      <w:proofErr w:type="spellEnd"/>
      <w:r>
        <w:t xml:space="preserve"> en chef Pr. J.-P. </w:t>
      </w:r>
      <w:proofErr w:type="spellStart"/>
      <w:r>
        <w:t>Tillement</w:t>
      </w:r>
      <w:proofErr w:type="spellEnd"/>
    </w:p>
    <w:p w:rsidR="00975C47" w:rsidRPr="005450A3" w:rsidRDefault="00975C47" w:rsidP="00975C47">
      <w:pPr>
        <w:spacing w:line="240" w:lineRule="auto"/>
        <w:rPr>
          <w:b/>
          <w:bCs/>
          <w:sz w:val="28"/>
          <w:szCs w:val="28"/>
        </w:rPr>
        <w:sectPr w:rsidR="00975C47" w:rsidRPr="005450A3">
          <w:type w:val="continuous"/>
          <w:pgSz w:w="11906" w:h="16838"/>
          <w:pgMar w:top="357" w:right="748" w:bottom="1418" w:left="902" w:header="709" w:footer="709" w:gutter="0"/>
          <w:cols w:space="720"/>
        </w:sectPr>
      </w:pPr>
      <w:r>
        <w:tab/>
      </w:r>
      <w:r>
        <w:tab/>
      </w:r>
      <w:r>
        <w:tab/>
      </w:r>
      <w:r>
        <w:tab/>
      </w:r>
      <w:r>
        <w:tab/>
      </w:r>
      <w:r>
        <w:tab/>
      </w:r>
      <w:r>
        <w:tab/>
      </w:r>
      <w:r>
        <w:tab/>
      </w:r>
      <w:r>
        <w:tab/>
        <w:t xml:space="preserve">         </w:t>
      </w:r>
      <w:r w:rsidRPr="005450A3">
        <w:rPr>
          <w:b/>
          <w:bCs/>
        </w:rPr>
        <w:t>Juillet 2023</w:t>
      </w:r>
    </w:p>
    <w:p w:rsidR="00975C47" w:rsidRPr="008E012B" w:rsidRDefault="00975C47" w:rsidP="00975C47">
      <w:pPr>
        <w:sectPr w:rsidR="00975C47" w:rsidRPr="008E012B" w:rsidSect="00D73CC5">
          <w:type w:val="continuous"/>
          <w:pgSz w:w="11906" w:h="16838"/>
          <w:pgMar w:top="357" w:right="748" w:bottom="1418" w:left="902" w:header="709" w:footer="709" w:gutter="0"/>
          <w:cols w:num="2" w:space="720"/>
        </w:sectPr>
      </w:pPr>
    </w:p>
    <w:p w:rsidR="00975C47" w:rsidRPr="003E4FF2" w:rsidRDefault="00975C47" w:rsidP="00975C47">
      <w:pPr>
        <w:spacing w:after="0" w:line="240" w:lineRule="auto"/>
        <w:jc w:val="both"/>
        <w:rPr>
          <w:rFonts w:ascii="Arial" w:hAnsi="Arial" w:cs="Arial"/>
          <w:i/>
          <w:iCs/>
          <w:sz w:val="40"/>
          <w:szCs w:val="40"/>
        </w:rPr>
      </w:pPr>
      <w:r>
        <w:rPr>
          <w:rFonts w:ascii="Arial" w:hAnsi="Arial" w:cs="Arial"/>
          <w:i/>
          <w:iCs/>
          <w:sz w:val="40"/>
          <w:szCs w:val="40"/>
        </w:rPr>
        <w:t>_____________________</w:t>
      </w:r>
    </w:p>
    <w:p w:rsidR="00975C47" w:rsidRPr="005450A3" w:rsidRDefault="00975C47" w:rsidP="00975C47">
      <w:pPr>
        <w:spacing w:after="0" w:line="240" w:lineRule="auto"/>
        <w:jc w:val="both"/>
        <w:rPr>
          <w:rFonts w:ascii="Arial" w:hAnsi="Arial" w:cs="Arial"/>
          <w:b/>
          <w:bCs/>
          <w:i/>
          <w:iCs/>
          <w:sz w:val="40"/>
          <w:szCs w:val="40"/>
        </w:rPr>
      </w:pPr>
      <w:r>
        <w:rPr>
          <w:rFonts w:ascii="Arial" w:hAnsi="Arial" w:cs="Arial"/>
          <w:b/>
          <w:bCs/>
          <w:i/>
          <w:iCs/>
          <w:sz w:val="40"/>
          <w:szCs w:val="40"/>
        </w:rPr>
        <w:t xml:space="preserve">       </w:t>
      </w:r>
      <w:proofErr w:type="gramStart"/>
      <w:r>
        <w:rPr>
          <w:rFonts w:ascii="Arial" w:hAnsi="Arial" w:cs="Arial"/>
          <w:b/>
          <w:bCs/>
          <w:i/>
          <w:iCs/>
          <w:sz w:val="40"/>
          <w:szCs w:val="40"/>
        </w:rPr>
        <w:t>i</w:t>
      </w:r>
      <w:r w:rsidRPr="005450A3">
        <w:rPr>
          <w:rFonts w:ascii="Arial" w:hAnsi="Arial" w:cs="Arial"/>
          <w:b/>
          <w:bCs/>
          <w:i/>
          <w:iCs/>
          <w:sz w:val="40"/>
          <w:szCs w:val="40"/>
        </w:rPr>
        <w:t>n</w:t>
      </w:r>
      <w:proofErr w:type="gramEnd"/>
      <w:r w:rsidRPr="005450A3">
        <w:rPr>
          <w:rFonts w:ascii="Arial" w:hAnsi="Arial" w:cs="Arial"/>
          <w:b/>
          <w:bCs/>
          <w:i/>
          <w:iCs/>
          <w:sz w:val="40"/>
          <w:szCs w:val="40"/>
        </w:rPr>
        <w:t xml:space="preserve"> memoriam</w:t>
      </w:r>
    </w:p>
    <w:p w:rsidR="00975C47" w:rsidRPr="005450A3" w:rsidRDefault="00975C47" w:rsidP="00975C47">
      <w:pPr>
        <w:spacing w:after="0" w:line="240" w:lineRule="auto"/>
        <w:jc w:val="both"/>
        <w:rPr>
          <w:rFonts w:ascii="Arial" w:hAnsi="Arial" w:cs="Arial"/>
          <w:b/>
          <w:bCs/>
          <w:i/>
          <w:iCs/>
          <w:sz w:val="24"/>
          <w:szCs w:val="24"/>
        </w:rPr>
      </w:pPr>
      <w:proofErr w:type="spellStart"/>
      <w:r w:rsidRPr="005450A3">
        <w:rPr>
          <w:rFonts w:ascii="Arial" w:hAnsi="Arial" w:cs="Arial"/>
          <w:b/>
          <w:bCs/>
          <w:i/>
          <w:iCs/>
          <w:sz w:val="24"/>
          <w:szCs w:val="24"/>
        </w:rPr>
        <w:t>Eloge</w:t>
      </w:r>
      <w:proofErr w:type="spellEnd"/>
      <w:r w:rsidRPr="005450A3">
        <w:rPr>
          <w:rFonts w:ascii="Arial" w:hAnsi="Arial" w:cs="Arial"/>
          <w:b/>
          <w:bCs/>
          <w:i/>
          <w:iCs/>
          <w:sz w:val="24"/>
          <w:szCs w:val="24"/>
        </w:rPr>
        <w:t xml:space="preserve"> du Professeur Jean-Pierre </w:t>
      </w:r>
      <w:proofErr w:type="spellStart"/>
      <w:r w:rsidRPr="005450A3">
        <w:rPr>
          <w:rFonts w:ascii="Arial" w:hAnsi="Arial" w:cs="Arial"/>
          <w:b/>
          <w:bCs/>
          <w:i/>
          <w:iCs/>
          <w:sz w:val="24"/>
          <w:szCs w:val="24"/>
        </w:rPr>
        <w:t>Olié</w:t>
      </w:r>
      <w:proofErr w:type="spellEnd"/>
    </w:p>
    <w:p w:rsidR="00975C47" w:rsidRPr="005450A3" w:rsidRDefault="00975C47" w:rsidP="00975C47">
      <w:pPr>
        <w:spacing w:after="0" w:line="240" w:lineRule="auto"/>
        <w:jc w:val="both"/>
        <w:rPr>
          <w:rFonts w:ascii="Arial" w:hAnsi="Arial" w:cs="Arial"/>
          <w:i/>
          <w:iCs/>
          <w:sz w:val="24"/>
          <w:szCs w:val="24"/>
        </w:rPr>
      </w:pPr>
    </w:p>
    <w:p w:rsidR="00975C47" w:rsidRPr="005450A3" w:rsidRDefault="00975C47" w:rsidP="00975C47">
      <w:pPr>
        <w:spacing w:after="0" w:line="240" w:lineRule="auto"/>
        <w:jc w:val="both"/>
        <w:rPr>
          <w:rFonts w:ascii="Arial" w:hAnsi="Arial" w:cs="Arial"/>
          <w:i/>
          <w:iCs/>
          <w:sz w:val="24"/>
          <w:szCs w:val="24"/>
        </w:rPr>
      </w:pPr>
      <w:r w:rsidRPr="005450A3">
        <w:rPr>
          <w:rFonts w:ascii="Arial" w:hAnsi="Arial" w:cs="Arial"/>
          <w:i/>
          <w:iCs/>
          <w:noProof/>
          <w:sz w:val="24"/>
          <w:szCs w:val="24"/>
        </w:rPr>
        <w:drawing>
          <wp:inline distT="0" distB="0" distL="0" distR="0" wp14:anchorId="789133CB" wp14:editId="757CECF4">
            <wp:extent cx="3053715" cy="2576830"/>
            <wp:effectExtent l="0" t="0" r="0" b="0"/>
            <wp:docPr id="1" name="Image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Image 1"/>
                    <pic:cNvPicPr>
                      <a:picLocks/>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3053715" cy="2576830"/>
                    </a:xfrm>
                    <a:prstGeom prst="rect">
                      <a:avLst/>
                    </a:prstGeom>
                    <a:noFill/>
                    <a:ln>
                      <a:noFill/>
                    </a:ln>
                  </pic:spPr>
                </pic:pic>
              </a:graphicData>
            </a:graphic>
          </wp:inline>
        </w:drawing>
      </w:r>
    </w:p>
    <w:p w:rsidR="00975C47" w:rsidRPr="005450A3" w:rsidRDefault="00975C47" w:rsidP="00975C47">
      <w:pPr>
        <w:spacing w:after="0" w:line="240" w:lineRule="auto"/>
        <w:jc w:val="both"/>
        <w:rPr>
          <w:rFonts w:ascii="Arial" w:hAnsi="Arial" w:cs="Arial"/>
          <w:i/>
          <w:iCs/>
          <w:sz w:val="24"/>
          <w:szCs w:val="24"/>
        </w:rPr>
      </w:pPr>
    </w:p>
    <w:p w:rsidR="00975C47" w:rsidRPr="005450A3" w:rsidRDefault="00975C47" w:rsidP="00975C47">
      <w:pPr>
        <w:spacing w:after="0" w:line="240" w:lineRule="auto"/>
        <w:ind w:firstLine="708"/>
        <w:jc w:val="both"/>
        <w:rPr>
          <w:rFonts w:ascii="Arial" w:hAnsi="Arial" w:cs="Arial"/>
          <w:i/>
          <w:iCs/>
        </w:rPr>
      </w:pPr>
      <w:r w:rsidRPr="005450A3">
        <w:rPr>
          <w:rFonts w:ascii="Arial" w:hAnsi="Arial" w:cs="Arial"/>
          <w:i/>
          <w:iCs/>
        </w:rPr>
        <w:t xml:space="preserve">Il est impossible d’évoquer le souvenir de Jean-Pierre </w:t>
      </w:r>
      <w:proofErr w:type="spellStart"/>
      <w:r w:rsidRPr="005450A3">
        <w:rPr>
          <w:rFonts w:ascii="Arial" w:hAnsi="Arial" w:cs="Arial"/>
          <w:i/>
          <w:iCs/>
        </w:rPr>
        <w:t>Olié</w:t>
      </w:r>
      <w:proofErr w:type="spellEnd"/>
      <w:r w:rsidRPr="005450A3">
        <w:rPr>
          <w:rFonts w:ascii="Arial" w:hAnsi="Arial" w:cs="Arial"/>
          <w:i/>
          <w:iCs/>
        </w:rPr>
        <w:t xml:space="preserve"> sans ressentir la chaleur de son sourire, la vivacité de son regard qui témoignaient du vif intérêt qu’il éprouvait pour chacun de ses interlocuteurs.</w:t>
      </w:r>
    </w:p>
    <w:p w:rsidR="00975C47" w:rsidRDefault="00975C47" w:rsidP="00975C47">
      <w:pPr>
        <w:spacing w:after="0" w:line="240" w:lineRule="auto"/>
        <w:ind w:firstLine="708"/>
        <w:jc w:val="both"/>
        <w:rPr>
          <w:rFonts w:ascii="Arial" w:hAnsi="Arial" w:cs="Arial"/>
          <w:i/>
          <w:iCs/>
        </w:rPr>
      </w:pPr>
      <w:r w:rsidRPr="005450A3">
        <w:rPr>
          <w:rFonts w:ascii="Arial" w:hAnsi="Arial" w:cs="Arial"/>
          <w:i/>
          <w:iCs/>
        </w:rPr>
        <w:t xml:space="preserve">Né le 17 avril 1945 à Aubin, en Aveyron auquel il était très attaché, il débuta ses études de médecine à Montpellier et c’est l’internat qui le conduisit vers Paris. Le prestigieux hôpital Sainte-Anne devint alors et pour toujours le pôle fondamental de ses intérêts. Il fut l’élève du professeur </w:t>
      </w:r>
      <w:proofErr w:type="spellStart"/>
      <w:r w:rsidRPr="005450A3">
        <w:rPr>
          <w:rFonts w:ascii="Arial" w:hAnsi="Arial" w:cs="Arial"/>
          <w:i/>
          <w:iCs/>
        </w:rPr>
        <w:t>Daumezon</w:t>
      </w:r>
      <w:proofErr w:type="spellEnd"/>
      <w:r w:rsidRPr="005450A3">
        <w:rPr>
          <w:rFonts w:ascii="Arial" w:hAnsi="Arial" w:cs="Arial"/>
          <w:i/>
          <w:iCs/>
        </w:rPr>
        <w:t xml:space="preserve"> avant d’être chef de clinique dans le service du professeur Deniker auquel il succéda après son grand ami Henri </w:t>
      </w:r>
      <w:proofErr w:type="spellStart"/>
      <w:r w:rsidRPr="005450A3">
        <w:rPr>
          <w:rFonts w:ascii="Arial" w:hAnsi="Arial" w:cs="Arial"/>
          <w:i/>
          <w:iCs/>
        </w:rPr>
        <w:t>Lôo</w:t>
      </w:r>
      <w:proofErr w:type="spellEnd"/>
      <w:r w:rsidRPr="005450A3">
        <w:rPr>
          <w:rFonts w:ascii="Arial" w:hAnsi="Arial" w:cs="Arial"/>
          <w:i/>
          <w:iCs/>
        </w:rPr>
        <w:t xml:space="preserve">. Tous deux profondément attachés à leur maître, furent à </w:t>
      </w:r>
      <w:r w:rsidRPr="00BF7DBC">
        <w:rPr>
          <w:rFonts w:ascii="Arial" w:hAnsi="Arial" w:cs="Arial"/>
          <w:i/>
          <w:iCs/>
        </w:rPr>
        <w:t>l’origine et au maintien</w:t>
      </w:r>
      <w:r>
        <w:rPr>
          <w:rFonts w:ascii="Arial" w:hAnsi="Arial" w:cs="Arial"/>
          <w:i/>
          <w:iCs/>
        </w:rPr>
        <w:t xml:space="preserve"> </w:t>
      </w:r>
      <w:r w:rsidRPr="005450A3">
        <w:rPr>
          <w:rFonts w:ascii="Arial" w:hAnsi="Arial" w:cs="Arial"/>
          <w:i/>
          <w:iCs/>
        </w:rPr>
        <w:t>de trois initiatives : la revue « l’Encéphale </w:t>
      </w:r>
      <w:r w:rsidRPr="00BF7DBC">
        <w:rPr>
          <w:rFonts w:ascii="Arial" w:hAnsi="Arial" w:cs="Arial"/>
          <w:i/>
          <w:iCs/>
        </w:rPr>
        <w:t>», le</w:t>
      </w:r>
      <w:r w:rsidRPr="005450A3">
        <w:rPr>
          <w:rFonts w:ascii="Arial" w:hAnsi="Arial" w:cs="Arial"/>
          <w:i/>
          <w:iCs/>
        </w:rPr>
        <w:t xml:space="preserve"> congrès éponyme réunissant chaque année, depuis plus de 20 ans, 4 000 </w:t>
      </w:r>
      <w:r w:rsidRPr="00BF7DBC">
        <w:rPr>
          <w:rFonts w:ascii="Arial" w:hAnsi="Arial" w:cs="Arial"/>
          <w:i/>
          <w:iCs/>
        </w:rPr>
        <w:t>psychiatres et</w:t>
      </w:r>
      <w:r>
        <w:rPr>
          <w:rFonts w:ascii="Arial" w:hAnsi="Arial" w:cs="Arial"/>
          <w:i/>
          <w:iCs/>
        </w:rPr>
        <w:t xml:space="preserve"> </w:t>
      </w:r>
      <w:r w:rsidRPr="005450A3">
        <w:rPr>
          <w:rFonts w:ascii="Arial" w:hAnsi="Arial" w:cs="Arial"/>
          <w:i/>
          <w:iCs/>
        </w:rPr>
        <w:t>la création de la fondation Deniker</w:t>
      </w:r>
      <w:r w:rsidRPr="00611B44">
        <w:rPr>
          <w:rFonts w:ascii="Arial" w:hAnsi="Arial" w:cs="Arial"/>
          <w:i/>
          <w:iCs/>
        </w:rPr>
        <w:t xml:space="preserve"> </w:t>
      </w:r>
      <w:r w:rsidRPr="005450A3">
        <w:rPr>
          <w:rFonts w:ascii="Arial" w:hAnsi="Arial" w:cs="Arial"/>
          <w:i/>
          <w:iCs/>
        </w:rPr>
        <w:t>pour stimuler la recherche.</w:t>
      </w:r>
    </w:p>
    <w:p w:rsidR="00975C47" w:rsidRPr="005450A3" w:rsidRDefault="00975C47" w:rsidP="00975C47">
      <w:pPr>
        <w:spacing w:after="0" w:line="240" w:lineRule="auto"/>
        <w:ind w:firstLine="708"/>
        <w:jc w:val="both"/>
        <w:rPr>
          <w:rFonts w:ascii="Arial" w:hAnsi="Arial" w:cs="Arial"/>
          <w:i/>
          <w:iCs/>
        </w:rPr>
      </w:pPr>
      <w:r w:rsidRPr="005450A3">
        <w:rPr>
          <w:rFonts w:ascii="Arial" w:hAnsi="Arial" w:cs="Arial"/>
          <w:i/>
          <w:iCs/>
        </w:rPr>
        <w:t xml:space="preserve"> Ces remarquables réalisations sont fidèlement poursuivies par leur élève Raphaël Gaillard.</w:t>
      </w:r>
    </w:p>
    <w:p w:rsidR="00975C47" w:rsidRPr="005450A3" w:rsidRDefault="00975C47" w:rsidP="00975C47">
      <w:pPr>
        <w:spacing w:after="0" w:line="240" w:lineRule="auto"/>
        <w:ind w:firstLine="708"/>
        <w:jc w:val="both"/>
        <w:rPr>
          <w:rFonts w:ascii="Arial" w:hAnsi="Arial" w:cs="Arial"/>
          <w:i/>
          <w:iCs/>
        </w:rPr>
      </w:pPr>
      <w:r w:rsidRPr="005450A3">
        <w:rPr>
          <w:rFonts w:ascii="Arial" w:hAnsi="Arial" w:cs="Arial"/>
          <w:i/>
          <w:iCs/>
        </w:rPr>
        <w:t xml:space="preserve">Jean-Pierre </w:t>
      </w:r>
      <w:proofErr w:type="spellStart"/>
      <w:r w:rsidRPr="005450A3">
        <w:rPr>
          <w:rFonts w:ascii="Arial" w:hAnsi="Arial" w:cs="Arial"/>
          <w:i/>
          <w:iCs/>
        </w:rPr>
        <w:t>Olié</w:t>
      </w:r>
      <w:proofErr w:type="spellEnd"/>
      <w:r w:rsidRPr="005450A3">
        <w:rPr>
          <w:rFonts w:ascii="Arial" w:hAnsi="Arial" w:cs="Arial"/>
          <w:i/>
          <w:iCs/>
        </w:rPr>
        <w:t xml:space="preserve"> était fondamentalement un clinicien dont l’obsession fut</w:t>
      </w:r>
      <w:r>
        <w:rPr>
          <w:rFonts w:ascii="Arial" w:hAnsi="Arial" w:cs="Arial"/>
          <w:i/>
          <w:iCs/>
        </w:rPr>
        <w:t>,</w:t>
      </w:r>
      <w:r w:rsidRPr="005450A3">
        <w:rPr>
          <w:rFonts w:ascii="Arial" w:hAnsi="Arial" w:cs="Arial"/>
          <w:i/>
          <w:iCs/>
        </w:rPr>
        <w:t xml:space="preserve"> jusqu’à ses derniers jours</w:t>
      </w:r>
      <w:r>
        <w:rPr>
          <w:rFonts w:ascii="Arial" w:hAnsi="Arial" w:cs="Arial"/>
          <w:i/>
          <w:iCs/>
        </w:rPr>
        <w:t>,</w:t>
      </w:r>
      <w:r w:rsidRPr="005450A3">
        <w:rPr>
          <w:rFonts w:ascii="Arial" w:hAnsi="Arial" w:cs="Arial"/>
          <w:i/>
          <w:iCs/>
        </w:rPr>
        <w:t xml:space="preserve"> le combat contre la souffrance mentale. Sa maman, me confia-t-il, déçue par le choix de sa spécialité et traduisant une opinion répandue, disait qu’elle aurait voulu qu’il devienne « un médecin qui soigne ». 0ui, Jean-Pierre était un médecin qui soignait avec générosité et une attention soutenue. </w:t>
      </w:r>
    </w:p>
    <w:p w:rsidR="00975C47" w:rsidRPr="005450A3" w:rsidRDefault="00975C47" w:rsidP="00975C47">
      <w:pPr>
        <w:spacing w:after="0" w:line="240" w:lineRule="auto"/>
        <w:ind w:firstLine="708"/>
        <w:jc w:val="both"/>
        <w:rPr>
          <w:rFonts w:ascii="Arial" w:hAnsi="Arial" w:cs="Arial"/>
          <w:i/>
          <w:iCs/>
        </w:rPr>
      </w:pPr>
      <w:r w:rsidRPr="005450A3">
        <w:rPr>
          <w:rFonts w:ascii="Arial" w:hAnsi="Arial" w:cs="Arial"/>
          <w:i/>
          <w:iCs/>
        </w:rPr>
        <w:t xml:space="preserve">Véritable universitaire, il était animé du souci constant de l’évolution de sa spécialité dont aucun aspect ne lui échappait. Auteur de très nombreuses publications médicales et scientifiques, il fit rayonner la psychiatrie française de par le monde. </w:t>
      </w:r>
    </w:p>
    <w:p w:rsidR="00975C47" w:rsidRDefault="00975C47" w:rsidP="00975C47">
      <w:pPr>
        <w:spacing w:after="0" w:line="240" w:lineRule="auto"/>
        <w:ind w:firstLine="708"/>
        <w:jc w:val="both"/>
        <w:rPr>
          <w:rFonts w:ascii="Arial" w:hAnsi="Arial" w:cs="Arial"/>
          <w:i/>
          <w:iCs/>
        </w:rPr>
      </w:pPr>
      <w:proofErr w:type="spellStart"/>
      <w:r w:rsidRPr="005450A3">
        <w:rPr>
          <w:rFonts w:ascii="Arial" w:hAnsi="Arial" w:cs="Arial"/>
          <w:i/>
          <w:iCs/>
        </w:rPr>
        <w:t>Elu</w:t>
      </w:r>
      <w:proofErr w:type="spellEnd"/>
      <w:r w:rsidRPr="005450A3">
        <w:rPr>
          <w:rFonts w:ascii="Arial" w:hAnsi="Arial" w:cs="Arial"/>
          <w:i/>
          <w:iCs/>
        </w:rPr>
        <w:t xml:space="preserve"> membre titulaire de l’Académie nationale de médecine le 16 novembre 2010, dans la quatrième division, section de médecine socia</w:t>
      </w:r>
      <w:r w:rsidRPr="00BF7DBC">
        <w:rPr>
          <w:rFonts w:ascii="Arial" w:hAnsi="Arial" w:cs="Arial"/>
          <w:i/>
          <w:iCs/>
        </w:rPr>
        <w:t>le</w:t>
      </w:r>
      <w:r w:rsidRPr="005450A3">
        <w:rPr>
          <w:rFonts w:ascii="Arial" w:hAnsi="Arial" w:cs="Arial"/>
          <w:i/>
          <w:iCs/>
        </w:rPr>
        <w:t>, il adhéra avec passion aux différentes activités de la Compagnie, organisant des séances intéressantes, suscitant et dirigeant de nombreux groupes de travail. Il participa au comité du langage médical où il ne limitait pas son intérêt aux définitions de sa spécialité, prouvant ainsi qu’il était un vrai médecin.</w:t>
      </w:r>
    </w:p>
    <w:p w:rsidR="00975C47" w:rsidRDefault="00975C47" w:rsidP="00975C47">
      <w:pPr>
        <w:spacing w:after="0" w:line="240" w:lineRule="auto"/>
        <w:ind w:firstLine="708"/>
        <w:jc w:val="both"/>
        <w:rPr>
          <w:rFonts w:ascii="Arial" w:hAnsi="Arial" w:cs="Arial"/>
          <w:i/>
          <w:iCs/>
        </w:rPr>
      </w:pPr>
      <w:r w:rsidRPr="005450A3">
        <w:rPr>
          <w:rFonts w:ascii="Arial" w:hAnsi="Arial" w:cs="Arial"/>
          <w:i/>
          <w:iCs/>
        </w:rPr>
        <w:t xml:space="preserve"> Sa participation à la lutte contre les addictions, ne se limitait pas à la répression, il préconisait que les actions préventives et curatives soient empreintes de la compréhension de la détresse mentale.</w:t>
      </w:r>
    </w:p>
    <w:p w:rsidR="00975C47" w:rsidRPr="005450A3" w:rsidRDefault="00975C47" w:rsidP="00975C47">
      <w:pPr>
        <w:spacing w:after="0" w:line="240" w:lineRule="auto"/>
        <w:ind w:firstLine="708"/>
        <w:jc w:val="both"/>
        <w:rPr>
          <w:rFonts w:ascii="Arial" w:hAnsi="Arial" w:cs="Arial"/>
          <w:i/>
          <w:iCs/>
        </w:rPr>
      </w:pPr>
    </w:p>
    <w:p w:rsidR="00975C47" w:rsidRDefault="00975C47" w:rsidP="00975C47">
      <w:pPr>
        <w:spacing w:after="0" w:line="240" w:lineRule="auto"/>
        <w:ind w:firstLine="708"/>
        <w:jc w:val="both"/>
        <w:rPr>
          <w:rFonts w:ascii="Arial" w:hAnsi="Arial" w:cs="Arial"/>
          <w:i/>
          <w:iCs/>
        </w:rPr>
      </w:pPr>
      <w:r w:rsidRPr="005450A3">
        <w:rPr>
          <w:rFonts w:ascii="Arial" w:hAnsi="Arial" w:cs="Arial"/>
          <w:i/>
          <w:iCs/>
        </w:rPr>
        <w:t xml:space="preserve">L’esprit de Jean-Pierre </w:t>
      </w:r>
      <w:proofErr w:type="spellStart"/>
      <w:r w:rsidRPr="005450A3">
        <w:rPr>
          <w:rFonts w:ascii="Arial" w:hAnsi="Arial" w:cs="Arial"/>
          <w:i/>
          <w:iCs/>
        </w:rPr>
        <w:t>Olié</w:t>
      </w:r>
      <w:proofErr w:type="spellEnd"/>
      <w:r w:rsidRPr="005450A3">
        <w:rPr>
          <w:rFonts w:ascii="Arial" w:hAnsi="Arial" w:cs="Arial"/>
          <w:i/>
          <w:iCs/>
        </w:rPr>
        <w:t xml:space="preserve"> demeurera pami nous, entretenu par son élève Raphaël Gaillard et par sa fille </w:t>
      </w:r>
      <w:proofErr w:type="spellStart"/>
      <w:r w:rsidRPr="005450A3">
        <w:rPr>
          <w:rFonts w:ascii="Arial" w:hAnsi="Arial" w:cs="Arial"/>
          <w:i/>
          <w:iCs/>
        </w:rPr>
        <w:t>Emilie</w:t>
      </w:r>
      <w:proofErr w:type="spellEnd"/>
      <w:r w:rsidRPr="005450A3">
        <w:rPr>
          <w:rFonts w:ascii="Arial" w:hAnsi="Arial" w:cs="Arial"/>
          <w:i/>
          <w:iCs/>
        </w:rPr>
        <w:t>, psychiatre universitaire, passionnée par la lutte contre la souffrance psychique.</w:t>
      </w:r>
    </w:p>
    <w:p w:rsidR="00975C47" w:rsidRPr="005450A3" w:rsidRDefault="00975C47" w:rsidP="00975C47">
      <w:pPr>
        <w:spacing w:after="0" w:line="240" w:lineRule="auto"/>
        <w:ind w:firstLine="708"/>
        <w:jc w:val="both"/>
        <w:rPr>
          <w:rFonts w:ascii="Arial" w:hAnsi="Arial" w:cs="Arial"/>
          <w:i/>
          <w:iCs/>
        </w:rPr>
      </w:pPr>
    </w:p>
    <w:p w:rsidR="00975C47" w:rsidRDefault="00975C47" w:rsidP="00975C47">
      <w:pPr>
        <w:spacing w:after="0" w:line="240" w:lineRule="auto"/>
        <w:jc w:val="both"/>
        <w:rPr>
          <w:rFonts w:ascii="Arial" w:hAnsi="Arial" w:cs="Arial"/>
          <w:i/>
          <w:iCs/>
        </w:rPr>
      </w:pPr>
      <w:r>
        <w:rPr>
          <w:rFonts w:ascii="Arial" w:hAnsi="Arial" w:cs="Arial"/>
          <w:i/>
          <w:iCs/>
        </w:rPr>
        <w:t xml:space="preserve"> Professeur </w:t>
      </w:r>
      <w:r w:rsidRPr="005450A3">
        <w:rPr>
          <w:rFonts w:ascii="Arial" w:hAnsi="Arial" w:cs="Arial"/>
          <w:i/>
          <w:iCs/>
        </w:rPr>
        <w:t>Claude Pierre Giudicelli</w:t>
      </w:r>
    </w:p>
    <w:p w:rsidR="00975C47" w:rsidRDefault="00975C47" w:rsidP="00975C47">
      <w:pPr>
        <w:spacing w:after="0" w:line="240" w:lineRule="auto"/>
        <w:jc w:val="both"/>
        <w:rPr>
          <w:rFonts w:ascii="Arial" w:hAnsi="Arial" w:cs="Arial"/>
          <w:i/>
          <w:iCs/>
        </w:rPr>
      </w:pPr>
      <w:r>
        <w:rPr>
          <w:rFonts w:ascii="Arial" w:hAnsi="Arial" w:cs="Arial"/>
          <w:i/>
          <w:iCs/>
        </w:rPr>
        <w:t>_______________________________________</w:t>
      </w:r>
    </w:p>
    <w:p w:rsidR="00975C47" w:rsidRDefault="00975C47" w:rsidP="00975C47">
      <w:pPr>
        <w:spacing w:after="0" w:line="240" w:lineRule="auto"/>
        <w:jc w:val="both"/>
        <w:rPr>
          <w:rFonts w:ascii="Arial" w:hAnsi="Arial" w:cs="Arial"/>
          <w:i/>
          <w:iCs/>
        </w:rPr>
      </w:pPr>
    </w:p>
    <w:p w:rsidR="00975C47" w:rsidRDefault="00975C47" w:rsidP="00975C47">
      <w:pPr>
        <w:spacing w:after="0" w:line="240" w:lineRule="auto"/>
        <w:jc w:val="both"/>
        <w:rPr>
          <w:rFonts w:ascii="Arial" w:hAnsi="Arial" w:cs="Arial"/>
          <w:i/>
          <w:iCs/>
        </w:rPr>
      </w:pPr>
    </w:p>
    <w:p w:rsidR="00975C47" w:rsidRPr="005450A3" w:rsidRDefault="00975C47" w:rsidP="00975C47">
      <w:pPr>
        <w:spacing w:after="0" w:line="240" w:lineRule="auto"/>
        <w:jc w:val="both"/>
        <w:rPr>
          <w:rFonts w:ascii="Arial" w:hAnsi="Arial" w:cs="Arial"/>
          <w:i/>
          <w:iCs/>
        </w:rPr>
      </w:pPr>
    </w:p>
    <w:p w:rsidR="00975C47" w:rsidRPr="00F12F82" w:rsidRDefault="00975C47" w:rsidP="00975C47">
      <w:pPr>
        <w:spacing w:after="0" w:line="240" w:lineRule="auto"/>
        <w:jc w:val="both"/>
        <w:rPr>
          <w:rFonts w:ascii="Arial" w:hAnsi="Arial" w:cs="Arial"/>
          <w:i/>
          <w:iCs/>
        </w:rPr>
      </w:pPr>
    </w:p>
    <w:p w:rsidR="00975C47" w:rsidRPr="0025247A" w:rsidRDefault="00975C47" w:rsidP="00975C47">
      <w:pPr>
        <w:jc w:val="center"/>
        <w:rPr>
          <w:b/>
          <w:i/>
          <w:iCs/>
          <w:sz w:val="32"/>
          <w:szCs w:val="32"/>
        </w:rPr>
      </w:pPr>
      <w:r w:rsidRPr="0025247A">
        <w:rPr>
          <w:b/>
          <w:bCs/>
          <w:sz w:val="32"/>
          <w:szCs w:val="32"/>
        </w:rPr>
        <w:t xml:space="preserve">La réalité du cannabis se compose des dénis successifs de ceux qui veulent encore le légaliser                         </w:t>
      </w:r>
      <w:r w:rsidRPr="000B28C9">
        <w:rPr>
          <w:bCs/>
          <w:sz w:val="24"/>
          <w:szCs w:val="24"/>
        </w:rPr>
        <w:t xml:space="preserve">- </w:t>
      </w:r>
      <w:proofErr w:type="spellStart"/>
      <w:r w:rsidRPr="000B28C9">
        <w:rPr>
          <w:i/>
          <w:iCs/>
          <w:sz w:val="24"/>
          <w:szCs w:val="24"/>
        </w:rPr>
        <w:t>Perseverare</w:t>
      </w:r>
      <w:proofErr w:type="spellEnd"/>
      <w:r w:rsidRPr="000B28C9">
        <w:rPr>
          <w:i/>
          <w:iCs/>
          <w:sz w:val="24"/>
          <w:szCs w:val="24"/>
        </w:rPr>
        <w:t xml:space="preserve"> </w:t>
      </w:r>
      <w:proofErr w:type="spellStart"/>
      <w:r w:rsidRPr="000B28C9">
        <w:rPr>
          <w:i/>
          <w:iCs/>
          <w:sz w:val="24"/>
          <w:szCs w:val="24"/>
        </w:rPr>
        <w:t>cannabinum</w:t>
      </w:r>
      <w:proofErr w:type="spellEnd"/>
      <w:r w:rsidRPr="000B28C9">
        <w:rPr>
          <w:i/>
          <w:iCs/>
          <w:sz w:val="24"/>
          <w:szCs w:val="24"/>
        </w:rPr>
        <w:t xml:space="preserve"> -</w:t>
      </w:r>
    </w:p>
    <w:p w:rsidR="00975C47" w:rsidRPr="0025247A" w:rsidRDefault="00975C47" w:rsidP="00975C47">
      <w:pPr>
        <w:jc w:val="center"/>
        <w:rPr>
          <w:bCs/>
          <w:i/>
          <w:sz w:val="24"/>
          <w:szCs w:val="24"/>
        </w:rPr>
      </w:pPr>
      <w:r w:rsidRPr="007E5784">
        <w:rPr>
          <w:i/>
          <w:iCs/>
          <w:sz w:val="16"/>
          <w:szCs w:val="16"/>
        </w:rPr>
        <w:t>Il y a pourtant</w:t>
      </w:r>
      <w:r>
        <w:rPr>
          <w:i/>
          <w:iCs/>
          <w:sz w:val="16"/>
          <w:szCs w:val="16"/>
        </w:rPr>
        <w:t xml:space="preserve"> déjà</w:t>
      </w:r>
      <w:r w:rsidRPr="007E5784">
        <w:rPr>
          <w:i/>
          <w:iCs/>
          <w:sz w:val="16"/>
          <w:szCs w:val="16"/>
        </w:rPr>
        <w:t xml:space="preserve"> bien longtemps que ce n’est plus « une drogue douce »</w:t>
      </w:r>
      <w:r>
        <w:rPr>
          <w:bCs/>
          <w:i/>
          <w:sz w:val="24"/>
          <w:szCs w:val="24"/>
        </w:rPr>
        <w:t xml:space="preserve">    </w:t>
      </w:r>
      <w:r w:rsidRPr="003E4FF2">
        <w:rPr>
          <w:bCs/>
        </w:rPr>
        <w:t>Pr. Jean Costentin</w:t>
      </w:r>
    </w:p>
    <w:p w:rsidR="00975C47" w:rsidRPr="006C190F" w:rsidRDefault="00975C47" w:rsidP="00975C47">
      <w:pPr>
        <w:ind w:firstLine="708"/>
        <w:jc w:val="both"/>
        <w:rPr>
          <w:bCs/>
          <w:sz w:val="20"/>
          <w:szCs w:val="20"/>
        </w:rPr>
      </w:pPr>
      <w:r w:rsidRPr="006C190F">
        <w:rPr>
          <w:bCs/>
          <w:sz w:val="20"/>
          <w:szCs w:val="20"/>
        </w:rPr>
        <w:t xml:space="preserve">La mauvaise foi des </w:t>
      </w:r>
      <w:proofErr w:type="spellStart"/>
      <w:r w:rsidRPr="006C190F">
        <w:rPr>
          <w:bCs/>
          <w:sz w:val="20"/>
          <w:szCs w:val="20"/>
        </w:rPr>
        <w:t>c</w:t>
      </w:r>
      <w:r>
        <w:rPr>
          <w:bCs/>
          <w:sz w:val="20"/>
          <w:szCs w:val="20"/>
        </w:rPr>
        <w:t>annabinophiles</w:t>
      </w:r>
      <w:proofErr w:type="spellEnd"/>
      <w:r>
        <w:rPr>
          <w:bCs/>
          <w:sz w:val="20"/>
          <w:szCs w:val="20"/>
        </w:rPr>
        <w:t xml:space="preserve"> est inoxydable ; e</w:t>
      </w:r>
      <w:r w:rsidRPr="006C190F">
        <w:rPr>
          <w:bCs/>
          <w:sz w:val="20"/>
          <w:szCs w:val="20"/>
        </w:rPr>
        <w:t>lle résiste à to</w:t>
      </w:r>
      <w:r>
        <w:rPr>
          <w:bCs/>
          <w:sz w:val="20"/>
          <w:szCs w:val="20"/>
        </w:rPr>
        <w:t>us les constats sociétaux, à toutes les preuves et</w:t>
      </w:r>
      <w:r w:rsidRPr="006C190F">
        <w:rPr>
          <w:bCs/>
          <w:sz w:val="20"/>
          <w:szCs w:val="20"/>
        </w:rPr>
        <w:t xml:space="preserve"> données neurobiologiques, cliniques, épid</w:t>
      </w:r>
      <w:r>
        <w:rPr>
          <w:bCs/>
          <w:sz w:val="20"/>
          <w:szCs w:val="20"/>
        </w:rPr>
        <w:t>émiologiques</w:t>
      </w:r>
      <w:r w:rsidRPr="006C190F">
        <w:rPr>
          <w:bCs/>
          <w:sz w:val="20"/>
          <w:szCs w:val="20"/>
        </w:rPr>
        <w:t>…</w:t>
      </w:r>
    </w:p>
    <w:p w:rsidR="00975C47" w:rsidRPr="006C190F" w:rsidRDefault="00975C47" w:rsidP="00975C47">
      <w:pPr>
        <w:ind w:firstLine="708"/>
        <w:jc w:val="both"/>
        <w:rPr>
          <w:bCs/>
          <w:sz w:val="20"/>
          <w:szCs w:val="20"/>
        </w:rPr>
      </w:pPr>
      <w:r>
        <w:rPr>
          <w:bCs/>
          <w:sz w:val="20"/>
          <w:szCs w:val="20"/>
        </w:rPr>
        <w:t xml:space="preserve"> Un effet patent du cannabis réside dans la persévération dans des idées fausses et dans l’anosognosie de ses consommateurs, incapables de percevoir les troubles que la drogue leur inflige, au point qu’ils veulent</w:t>
      </w:r>
      <w:r w:rsidRPr="006C190F">
        <w:rPr>
          <w:bCs/>
          <w:sz w:val="20"/>
          <w:szCs w:val="20"/>
        </w:rPr>
        <w:t xml:space="preserve"> la rendre accessible à tous.</w:t>
      </w:r>
    </w:p>
    <w:p w:rsidR="00975C47" w:rsidRDefault="00975C47" w:rsidP="00975C47">
      <w:pPr>
        <w:ind w:firstLine="708"/>
        <w:jc w:val="both"/>
        <w:rPr>
          <w:bCs/>
          <w:sz w:val="20"/>
          <w:szCs w:val="20"/>
        </w:rPr>
      </w:pPr>
      <w:r w:rsidRPr="006C190F">
        <w:rPr>
          <w:bCs/>
          <w:sz w:val="20"/>
          <w:szCs w:val="20"/>
        </w:rPr>
        <w:t>Ils ont prétendu</w:t>
      </w:r>
      <w:r>
        <w:rPr>
          <w:bCs/>
          <w:sz w:val="20"/>
          <w:szCs w:val="20"/>
        </w:rPr>
        <w:t xml:space="preserve"> que ce n’était pas une drogue, puisque qu’on peut ne consommer qu’un</w:t>
      </w:r>
      <w:r w:rsidRPr="006C190F">
        <w:rPr>
          <w:bCs/>
          <w:sz w:val="20"/>
          <w:szCs w:val="20"/>
        </w:rPr>
        <w:t xml:space="preserve"> « joint » ou un « pétard » tous les trois jours. </w:t>
      </w:r>
      <w:r>
        <w:rPr>
          <w:bCs/>
          <w:sz w:val="20"/>
          <w:szCs w:val="20"/>
        </w:rPr>
        <w:t>On leur a appris alors que cette basse fréquence résultait de la</w:t>
      </w:r>
      <w:r w:rsidRPr="006C190F">
        <w:rPr>
          <w:bCs/>
          <w:sz w:val="20"/>
          <w:szCs w:val="20"/>
        </w:rPr>
        <w:t xml:space="preserve"> longue persistan</w:t>
      </w:r>
      <w:r>
        <w:rPr>
          <w:bCs/>
          <w:sz w:val="20"/>
          <w:szCs w:val="20"/>
        </w:rPr>
        <w:t>ce dans l’organisme de son THC ; ce qui n’impose pas de passer fréquemment à la pompe pour stimuler en</w:t>
      </w:r>
      <w:r w:rsidRPr="006C190F">
        <w:rPr>
          <w:bCs/>
          <w:sz w:val="20"/>
          <w:szCs w:val="20"/>
        </w:rPr>
        <w:t xml:space="preserve"> </w:t>
      </w:r>
      <w:r>
        <w:rPr>
          <w:bCs/>
          <w:sz w:val="20"/>
          <w:szCs w:val="20"/>
        </w:rPr>
        <w:t xml:space="preserve">permanence </w:t>
      </w:r>
      <w:r w:rsidRPr="006C190F">
        <w:rPr>
          <w:bCs/>
          <w:sz w:val="20"/>
          <w:szCs w:val="20"/>
        </w:rPr>
        <w:t xml:space="preserve">ses </w:t>
      </w:r>
      <w:r>
        <w:rPr>
          <w:bCs/>
          <w:sz w:val="20"/>
          <w:szCs w:val="20"/>
        </w:rPr>
        <w:t xml:space="preserve">cibles biologiques (les récepteurs </w:t>
      </w:r>
      <w:r w:rsidRPr="006C190F">
        <w:rPr>
          <w:bCs/>
          <w:sz w:val="20"/>
          <w:szCs w:val="20"/>
        </w:rPr>
        <w:t>CB</w:t>
      </w:r>
      <w:r w:rsidRPr="006C190F">
        <w:rPr>
          <w:bCs/>
          <w:sz w:val="20"/>
          <w:szCs w:val="20"/>
          <w:vertAlign w:val="subscript"/>
        </w:rPr>
        <w:t>1</w:t>
      </w:r>
      <w:r>
        <w:rPr>
          <w:bCs/>
          <w:sz w:val="20"/>
          <w:szCs w:val="20"/>
        </w:rPr>
        <w:t>). Concéda</w:t>
      </w:r>
      <w:r w:rsidRPr="006C190F">
        <w:rPr>
          <w:bCs/>
          <w:sz w:val="20"/>
          <w:szCs w:val="20"/>
        </w:rPr>
        <w:t>nt</w:t>
      </w:r>
      <w:r>
        <w:rPr>
          <w:bCs/>
          <w:sz w:val="20"/>
          <w:szCs w:val="20"/>
        </w:rPr>
        <w:t xml:space="preserve"> alors que c’est bien une drogue, ils s’empressent de relativiser en ajoutant</w:t>
      </w:r>
      <w:r w:rsidRPr="006C190F">
        <w:rPr>
          <w:bCs/>
          <w:sz w:val="20"/>
          <w:szCs w:val="20"/>
        </w:rPr>
        <w:t xml:space="preserve"> «</w:t>
      </w:r>
      <w:r>
        <w:rPr>
          <w:bCs/>
          <w:sz w:val="20"/>
          <w:szCs w:val="20"/>
        </w:rPr>
        <w:t xml:space="preserve"> mais </w:t>
      </w:r>
      <w:r w:rsidRPr="006C190F">
        <w:rPr>
          <w:bCs/>
          <w:sz w:val="20"/>
          <w:szCs w:val="20"/>
        </w:rPr>
        <w:t>une drogue douce »</w:t>
      </w:r>
      <w:r>
        <w:rPr>
          <w:bCs/>
          <w:sz w:val="20"/>
          <w:szCs w:val="20"/>
        </w:rPr>
        <w:t>, puisqu’</w:t>
      </w:r>
      <w:r w:rsidRPr="006C190F">
        <w:rPr>
          <w:bCs/>
          <w:sz w:val="20"/>
          <w:szCs w:val="20"/>
        </w:rPr>
        <w:t>à la diff</w:t>
      </w:r>
      <w:r>
        <w:rPr>
          <w:bCs/>
          <w:sz w:val="20"/>
          <w:szCs w:val="20"/>
        </w:rPr>
        <w:t>érence des drogues « dures »</w:t>
      </w:r>
      <w:r w:rsidRPr="006C190F">
        <w:rPr>
          <w:bCs/>
          <w:sz w:val="20"/>
          <w:szCs w:val="20"/>
        </w:rPr>
        <w:t xml:space="preserve"> </w:t>
      </w:r>
      <w:r>
        <w:rPr>
          <w:bCs/>
          <w:sz w:val="20"/>
          <w:szCs w:val="20"/>
        </w:rPr>
        <w:t>l’</w:t>
      </w:r>
      <w:r w:rsidRPr="006C190F">
        <w:rPr>
          <w:bCs/>
          <w:sz w:val="20"/>
          <w:szCs w:val="20"/>
        </w:rPr>
        <w:t>abstinence n’indui</w:t>
      </w:r>
      <w:r>
        <w:rPr>
          <w:bCs/>
          <w:sz w:val="20"/>
          <w:szCs w:val="20"/>
        </w:rPr>
        <w:t>rai</w:t>
      </w:r>
      <w:r w:rsidRPr="006C190F">
        <w:rPr>
          <w:bCs/>
          <w:sz w:val="20"/>
          <w:szCs w:val="20"/>
        </w:rPr>
        <w:t>t</w:t>
      </w:r>
      <w:r>
        <w:rPr>
          <w:bCs/>
          <w:sz w:val="20"/>
          <w:szCs w:val="20"/>
        </w:rPr>
        <w:t xml:space="preserve"> pas de troubles physiques.  On leur explique à nouveau</w:t>
      </w:r>
      <w:r w:rsidRPr="006C190F">
        <w:rPr>
          <w:bCs/>
          <w:sz w:val="20"/>
          <w:szCs w:val="20"/>
        </w:rPr>
        <w:t xml:space="preserve"> que</w:t>
      </w:r>
      <w:r>
        <w:rPr>
          <w:bCs/>
          <w:sz w:val="20"/>
          <w:szCs w:val="20"/>
        </w:rPr>
        <w:t xml:space="preserve"> la très lente élimination du THC protège le consommateur des troubles que susciterait un « </w:t>
      </w:r>
      <w:r w:rsidRPr="00EE682C">
        <w:rPr>
          <w:bCs/>
          <w:i/>
          <w:sz w:val="20"/>
          <w:szCs w:val="20"/>
        </w:rPr>
        <w:t>crash</w:t>
      </w:r>
      <w:r>
        <w:rPr>
          <w:bCs/>
          <w:sz w:val="20"/>
          <w:szCs w:val="20"/>
        </w:rPr>
        <w:t> »</w:t>
      </w:r>
      <w:r w:rsidRPr="006C190F">
        <w:rPr>
          <w:bCs/>
          <w:sz w:val="20"/>
          <w:szCs w:val="20"/>
        </w:rPr>
        <w:t xml:space="preserve"> des concentrations de THC. Pourtant</w:t>
      </w:r>
      <w:r>
        <w:rPr>
          <w:bCs/>
          <w:sz w:val="20"/>
          <w:szCs w:val="20"/>
        </w:rPr>
        <w:t>, mimant une disparition brutale du THC par le blocage des récepteurs CB</w:t>
      </w:r>
      <w:r w:rsidRPr="00530CBA">
        <w:rPr>
          <w:bCs/>
          <w:sz w:val="20"/>
          <w:szCs w:val="20"/>
          <w:vertAlign w:val="subscript"/>
        </w:rPr>
        <w:t>1</w:t>
      </w:r>
      <w:r>
        <w:rPr>
          <w:bCs/>
          <w:sz w:val="20"/>
          <w:szCs w:val="20"/>
        </w:rPr>
        <w:t xml:space="preserve"> en recourant au rimonabant, on induit des troubles marqués, tels ceux qu’éprouve l’héroïnomane privé de sa drogue. Ils ont prétendu alors que le pouvoir d’accrochage du THC était réduit ; assertion démentie par « l’usage problématique » qu’en font 20% de ceux qui l’ont expérimenté et par le recrutement, en dépit de son caractère prohibé (loi de 1970) de 1.500.000 « usagers réguliers » (qui en consomment au moins une fois tous les 3 jours) avec parmi eux, 1.000.000 d’usagers quotidiens et multi quotidiens. Rappelons-leurs qu’on ne dispose d’aucun moyen qui permette de détacher de cette drogue, à l’instar de la cocaïne, ce qui devrait inciter à une prévention des plus rigoureuses.</w:t>
      </w:r>
    </w:p>
    <w:p w:rsidR="00975C47" w:rsidRDefault="00975C47" w:rsidP="00975C47">
      <w:pPr>
        <w:ind w:firstLine="708"/>
        <w:jc w:val="both"/>
        <w:rPr>
          <w:bCs/>
          <w:sz w:val="20"/>
          <w:szCs w:val="20"/>
        </w:rPr>
      </w:pPr>
      <w:r>
        <w:rPr>
          <w:bCs/>
          <w:sz w:val="20"/>
          <w:szCs w:val="20"/>
        </w:rPr>
        <w:t>Ils ont contesté ses dangers sur la route et au travail ; jusqu’à ce que les statistiques montrent que consommé seul il double le risque d’accidents mortels et qu’associé à l’alcool (si présent dans notre société) il multiplie par 29 le risque d’accidents mortels.</w:t>
      </w:r>
    </w:p>
    <w:p w:rsidR="00975C47" w:rsidRDefault="00975C47" w:rsidP="00975C47">
      <w:pPr>
        <w:ind w:firstLine="708"/>
        <w:jc w:val="both"/>
        <w:rPr>
          <w:bCs/>
          <w:sz w:val="20"/>
          <w:szCs w:val="20"/>
        </w:rPr>
      </w:pPr>
      <w:r>
        <w:rPr>
          <w:bCs/>
          <w:sz w:val="20"/>
          <w:szCs w:val="20"/>
        </w:rPr>
        <w:t xml:space="preserve">Le fumeux « rapport Roques » avait prétendu que le cannabis était moins toxique que le tabac. Pourtant sa combustion engendre 6 à 8 fois plus de goudrons </w:t>
      </w:r>
      <w:r>
        <w:rPr>
          <w:bCs/>
          <w:sz w:val="20"/>
          <w:szCs w:val="20"/>
        </w:rPr>
        <w:t xml:space="preserve">cancérigènes et d’oxyde de carbone (CO) que celle du tabac, davantage de substances irritantes pour les voies respiratoires, et que le THC déprime les défenses immunitaires impliquées dans l’élimination des cellules cancéreuses. On sait désormais que l’âge moyen de déclenchement d’un cancer broncho-pulmonaire est </w:t>
      </w:r>
      <w:r w:rsidRPr="000E6BCE">
        <w:rPr>
          <w:bCs/>
          <w:sz w:val="20"/>
          <w:szCs w:val="20"/>
        </w:rPr>
        <w:t>de 53 ans chez un fumeur de cannabis, de 65</w:t>
      </w:r>
      <w:r>
        <w:rPr>
          <w:bCs/>
          <w:sz w:val="20"/>
          <w:szCs w:val="20"/>
        </w:rPr>
        <w:t xml:space="preserve"> ans chez un fumeur de tabac</w:t>
      </w:r>
      <w:r w:rsidRPr="000E6BCE">
        <w:rPr>
          <w:bCs/>
          <w:sz w:val="20"/>
          <w:szCs w:val="20"/>
        </w:rPr>
        <w:t xml:space="preserve"> et</w:t>
      </w:r>
      <w:r>
        <w:rPr>
          <w:bCs/>
          <w:sz w:val="20"/>
          <w:szCs w:val="20"/>
        </w:rPr>
        <w:t xml:space="preserve"> de 72 ans chez les </w:t>
      </w:r>
      <w:proofErr w:type="spellStart"/>
      <w:r>
        <w:rPr>
          <w:bCs/>
          <w:sz w:val="20"/>
          <w:szCs w:val="20"/>
        </w:rPr>
        <w:t>non fumeurs</w:t>
      </w:r>
      <w:proofErr w:type="spellEnd"/>
      <w:r>
        <w:rPr>
          <w:bCs/>
          <w:sz w:val="20"/>
          <w:szCs w:val="20"/>
        </w:rPr>
        <w:t xml:space="preserve"> (c</w:t>
      </w:r>
      <w:r w:rsidRPr="000E6BCE">
        <w:rPr>
          <w:bCs/>
          <w:sz w:val="20"/>
          <w:szCs w:val="20"/>
        </w:rPr>
        <w:t>es cancers d’autres causes</w:t>
      </w:r>
      <w:r>
        <w:rPr>
          <w:bCs/>
          <w:sz w:val="20"/>
          <w:szCs w:val="20"/>
        </w:rPr>
        <w:t xml:space="preserve"> ne concerna</w:t>
      </w:r>
      <w:r w:rsidRPr="000E6BCE">
        <w:rPr>
          <w:bCs/>
          <w:sz w:val="20"/>
          <w:szCs w:val="20"/>
        </w:rPr>
        <w:t>nt que 12%</w:t>
      </w:r>
      <w:r>
        <w:rPr>
          <w:bCs/>
          <w:sz w:val="20"/>
          <w:szCs w:val="20"/>
        </w:rPr>
        <w:t xml:space="preserve"> de l’ensemble de ces cancers). Quant à l’oxyde de carbone qui réduit l’apport d’oxygène à tout l’organisme, il fait du cannabis la troisième cause de déclenchement d’infarctus du myocarde (devant le tabac) ; il induit des accidents vasculaires cérébraux et des artérites des membres inférieurs chez des sujets encore jeunes.</w:t>
      </w:r>
    </w:p>
    <w:p w:rsidR="00975C47" w:rsidRDefault="00975C47" w:rsidP="00975C47">
      <w:pPr>
        <w:ind w:firstLine="708"/>
        <w:jc w:val="both"/>
        <w:rPr>
          <w:bCs/>
          <w:sz w:val="20"/>
          <w:szCs w:val="20"/>
        </w:rPr>
      </w:pPr>
      <w:r>
        <w:rPr>
          <w:bCs/>
          <w:sz w:val="20"/>
          <w:szCs w:val="20"/>
        </w:rPr>
        <w:t xml:space="preserve">Le cannabis fait mauvais ménage avec la grossesse dont il perturbe le déroulement et plus encore l’enfant qui en naîtra : retard de développement staturo-pondéral et psychique ; vulnérabilité </w:t>
      </w:r>
      <w:r w:rsidRPr="00BF7DBC">
        <w:rPr>
          <w:bCs/>
          <w:sz w:val="20"/>
          <w:szCs w:val="20"/>
        </w:rPr>
        <w:t>aux risques</w:t>
      </w:r>
      <w:r>
        <w:rPr>
          <w:bCs/>
          <w:sz w:val="20"/>
          <w:szCs w:val="20"/>
        </w:rPr>
        <w:t xml:space="preserve"> de mort subite inexpliquée ; hyperactivité avec déficit de l’attention ; vulnérabilité aux toxicomanies dès l’adolescence ; déficits cognitifs, vulnérabilité à la dépression, à la schizophrénie, déficit immunitaire… </w:t>
      </w:r>
    </w:p>
    <w:p w:rsidR="00975C47" w:rsidRDefault="00975C47" w:rsidP="00975C47">
      <w:pPr>
        <w:ind w:firstLine="708"/>
        <w:jc w:val="both"/>
        <w:rPr>
          <w:bCs/>
          <w:sz w:val="20"/>
          <w:szCs w:val="20"/>
        </w:rPr>
      </w:pPr>
      <w:r>
        <w:rPr>
          <w:bCs/>
          <w:sz w:val="20"/>
          <w:szCs w:val="20"/>
        </w:rPr>
        <w:t xml:space="preserve">Alors que le tabac et sa nicotine ne sont pas délétères pour le cerveau, le cannabis par son THC est responsable de méfaits multiples qui, après qu’ils aient été à peu près tous </w:t>
      </w:r>
      <w:r w:rsidRPr="00BF7DBC">
        <w:rPr>
          <w:bCs/>
          <w:sz w:val="20"/>
          <w:szCs w:val="20"/>
        </w:rPr>
        <w:t>contestés,</w:t>
      </w:r>
      <w:r>
        <w:rPr>
          <w:bCs/>
          <w:sz w:val="20"/>
          <w:szCs w:val="20"/>
        </w:rPr>
        <w:t xml:space="preserve"> ont été successivement démontrés et dont les mécanismes ont été précisés (ivresse, désinhibition, anxiété, crétinisation, dépression de l’humeur, schizophrénie, induction d’une dépendance à d’autres drogues, par le phénomène d’escalade </w:t>
      </w:r>
      <w:r w:rsidRPr="004247A4">
        <w:rPr>
          <w:bCs/>
          <w:sz w:val="20"/>
          <w:szCs w:val="20"/>
        </w:rPr>
        <w:t>toxicomaniaque).</w:t>
      </w:r>
      <w:r>
        <w:rPr>
          <w:bCs/>
          <w:sz w:val="20"/>
          <w:szCs w:val="20"/>
        </w:rPr>
        <w:t xml:space="preserve"> </w:t>
      </w:r>
    </w:p>
    <w:p w:rsidR="00975C47" w:rsidRDefault="00975C47" w:rsidP="00975C47">
      <w:pPr>
        <w:ind w:firstLine="708"/>
        <w:jc w:val="both"/>
        <w:rPr>
          <w:bCs/>
          <w:sz w:val="20"/>
          <w:szCs w:val="20"/>
        </w:rPr>
      </w:pPr>
      <w:r>
        <w:rPr>
          <w:bCs/>
          <w:sz w:val="20"/>
          <w:szCs w:val="20"/>
        </w:rPr>
        <w:t xml:space="preserve">Si cette escalade toxicomaniaque a été contestée avec véhémence par les pro </w:t>
      </w:r>
      <w:proofErr w:type="spellStart"/>
      <w:r>
        <w:rPr>
          <w:bCs/>
          <w:sz w:val="20"/>
          <w:szCs w:val="20"/>
        </w:rPr>
        <w:t>légalisateurs</w:t>
      </w:r>
      <w:proofErr w:type="spellEnd"/>
      <w:r>
        <w:rPr>
          <w:bCs/>
          <w:sz w:val="20"/>
          <w:szCs w:val="20"/>
        </w:rPr>
        <w:t>, leur opposition ne résiste plus aux évidences : la tolérance qui s’installe à certains des effets du THC incite à y ajouter d’autres drogues et ces poly toxicomanies s’observent de plus en plus fréquemment</w:t>
      </w:r>
      <w:r w:rsidRPr="00BF7DBC">
        <w:rPr>
          <w:bCs/>
          <w:sz w:val="20"/>
          <w:szCs w:val="20"/>
        </w:rPr>
        <w:t>. Par surcroît</w:t>
      </w:r>
      <w:r>
        <w:rPr>
          <w:bCs/>
          <w:sz w:val="20"/>
          <w:szCs w:val="20"/>
        </w:rPr>
        <w:t xml:space="preserve"> la connaissance de ses effets épigénétiques montre que sa consommation modifie la perception d’autres drogues, les rendant plus appétitives (comme cela a été montré pour la cocaïne et pour les morphiniques). </w:t>
      </w:r>
    </w:p>
    <w:p w:rsidR="00975C47" w:rsidRDefault="00975C47" w:rsidP="00975C47">
      <w:pPr>
        <w:ind w:firstLine="708"/>
        <w:jc w:val="both"/>
        <w:rPr>
          <w:bCs/>
          <w:sz w:val="20"/>
          <w:szCs w:val="20"/>
        </w:rPr>
      </w:pPr>
      <w:r>
        <w:rPr>
          <w:bCs/>
          <w:sz w:val="20"/>
          <w:szCs w:val="20"/>
        </w:rPr>
        <w:t xml:space="preserve">Les pro </w:t>
      </w:r>
      <w:proofErr w:type="spellStart"/>
      <w:r>
        <w:rPr>
          <w:bCs/>
          <w:sz w:val="20"/>
          <w:szCs w:val="20"/>
        </w:rPr>
        <w:t>légalisateurs</w:t>
      </w:r>
      <w:proofErr w:type="spellEnd"/>
      <w:r>
        <w:rPr>
          <w:bCs/>
          <w:sz w:val="20"/>
          <w:szCs w:val="20"/>
        </w:rPr>
        <w:t xml:space="preserve"> ignorent-ils, ou feignent-ils d’ignorer, que l’exposition au THC des ovules et des spermatozoïdes, crée des marques épigénétiques qui seront transmises à leur progéniture, conduisant à une vulnérabilité aux toxicomanies (liée à une raréfaction des récepteurs dopaminergiques D</w:t>
      </w:r>
      <w:r w:rsidRPr="002614FB">
        <w:rPr>
          <w:bCs/>
          <w:sz w:val="20"/>
          <w:szCs w:val="20"/>
          <w:vertAlign w:val="subscript"/>
        </w:rPr>
        <w:t>2</w:t>
      </w:r>
      <w:r>
        <w:rPr>
          <w:bCs/>
          <w:sz w:val="20"/>
          <w:szCs w:val="20"/>
        </w:rPr>
        <w:t xml:space="preserve"> dans leur noyau accumbens). Pourquoi la connaissance des effets épigénétiques du THC ne franchit-elle pas la barrière des médias ?  Ces connaissances étant si importantes, ceux qui façonnent l’opinion craindraient-ils qu’en les communiquant, ils ruinent le projet de ceux qui militent pour la légalisation du cannabis ?  </w:t>
      </w:r>
    </w:p>
    <w:p w:rsidR="00975C47" w:rsidRPr="00DA3CDD" w:rsidRDefault="00975C47" w:rsidP="00975C47">
      <w:pPr>
        <w:ind w:firstLine="708"/>
        <w:jc w:val="both"/>
        <w:rPr>
          <w:bCs/>
          <w:sz w:val="20"/>
          <w:szCs w:val="20"/>
        </w:rPr>
      </w:pPr>
      <w:r>
        <w:rPr>
          <w:bCs/>
          <w:sz w:val="20"/>
          <w:szCs w:val="20"/>
        </w:rPr>
        <w:lastRenderedPageBreak/>
        <w:t xml:space="preserve">Pour conclure, qui aurait encore le front de considérer le cannabis comme une « drogue douce » et pourrait en conscience vouloir étendre davantage sa consommation. Ne pouvant plus se réfugier derrière un « on ne savait pas », maintenant que tout cela est su, ces prosélytes du cannabis engagent pleinement leur responsabilité et il pourra leur être demandé de rendre des comptes. </w:t>
      </w:r>
    </w:p>
    <w:p w:rsidR="00975C47" w:rsidRPr="00191596" w:rsidRDefault="00975C47" w:rsidP="00975C47">
      <w:pPr>
        <w:jc w:val="center"/>
        <w:rPr>
          <w:rFonts w:ascii="Cambria" w:hAnsi="Cambria"/>
          <w:b/>
          <w:sz w:val="28"/>
          <w:szCs w:val="28"/>
        </w:rPr>
      </w:pPr>
      <w:r w:rsidRPr="00191596">
        <w:rPr>
          <w:rFonts w:ascii="Cambria" w:hAnsi="Cambria"/>
          <w:b/>
          <w:sz w:val="28"/>
          <w:szCs w:val="28"/>
        </w:rPr>
        <w:t>HHC : Vide ou bide juridique ?</w:t>
      </w:r>
    </w:p>
    <w:p w:rsidR="00975C47" w:rsidRPr="00191596" w:rsidRDefault="00975C47" w:rsidP="00975C47">
      <w:pPr>
        <w:jc w:val="center"/>
        <w:rPr>
          <w:rFonts w:ascii="Cambria" w:hAnsi="Cambria"/>
          <w:sz w:val="20"/>
          <w:szCs w:val="20"/>
        </w:rPr>
      </w:pPr>
      <w:r w:rsidRPr="00191596">
        <w:rPr>
          <w:rFonts w:ascii="Cambria" w:hAnsi="Cambria"/>
          <w:sz w:val="20"/>
          <w:szCs w:val="20"/>
        </w:rPr>
        <w:t>Emmanuel le Taillandier</w:t>
      </w:r>
    </w:p>
    <w:p w:rsidR="00975C47" w:rsidRPr="00191596" w:rsidRDefault="00975C47" w:rsidP="00975C47">
      <w:pPr>
        <w:ind w:firstLine="708"/>
        <w:jc w:val="both"/>
        <w:rPr>
          <w:rFonts w:ascii="Cambria" w:hAnsi="Cambria"/>
          <w:sz w:val="20"/>
          <w:szCs w:val="20"/>
        </w:rPr>
      </w:pPr>
      <w:r w:rsidRPr="00191596">
        <w:rPr>
          <w:rFonts w:ascii="Cambria" w:hAnsi="Cambria"/>
          <w:sz w:val="20"/>
          <w:szCs w:val="20"/>
        </w:rPr>
        <w:t xml:space="preserve">Certainement de bonne foi, le ministre François BRAUN, en annonçant à la Presse que </w:t>
      </w:r>
      <w:r w:rsidRPr="00BF7DBC">
        <w:rPr>
          <w:rFonts w:ascii="Cambria" w:hAnsi="Cambria"/>
          <w:sz w:val="20"/>
          <w:szCs w:val="20"/>
        </w:rPr>
        <w:t>l’Agence nationale</w:t>
      </w:r>
      <w:r w:rsidRPr="00191596">
        <w:rPr>
          <w:rFonts w:ascii="Cambria" w:hAnsi="Cambria"/>
          <w:sz w:val="20"/>
          <w:szCs w:val="20"/>
        </w:rPr>
        <w:t xml:space="preserve"> </w:t>
      </w:r>
      <w:r w:rsidRPr="00BF7DBC">
        <w:rPr>
          <w:rFonts w:ascii="Cambria" w:hAnsi="Cambria"/>
          <w:sz w:val="20"/>
          <w:szCs w:val="20"/>
        </w:rPr>
        <w:t>de sécurité du médicament</w:t>
      </w:r>
      <w:r w:rsidRPr="00191596">
        <w:rPr>
          <w:rFonts w:ascii="Cambria" w:hAnsi="Cambria"/>
          <w:sz w:val="20"/>
          <w:szCs w:val="20"/>
        </w:rPr>
        <w:t xml:space="preserve"> allait se pencher sur les </w:t>
      </w:r>
      <w:proofErr w:type="gramStart"/>
      <w:r w:rsidRPr="00BF7DBC">
        <w:rPr>
          <w:rFonts w:ascii="Cambria" w:hAnsi="Cambria"/>
          <w:sz w:val="20"/>
          <w:szCs w:val="20"/>
        </w:rPr>
        <w:t>méfaits  de</w:t>
      </w:r>
      <w:proofErr w:type="gramEnd"/>
      <w:r w:rsidRPr="00BF7DBC">
        <w:rPr>
          <w:rFonts w:ascii="Cambria" w:hAnsi="Cambria"/>
          <w:sz w:val="20"/>
          <w:szCs w:val="20"/>
        </w:rPr>
        <w:t xml:space="preserve"> l’</w:t>
      </w:r>
      <w:proofErr w:type="spellStart"/>
      <w:r w:rsidRPr="00BF7DBC">
        <w:rPr>
          <w:rFonts w:ascii="Cambria" w:hAnsi="Cambria"/>
          <w:sz w:val="20"/>
          <w:szCs w:val="20"/>
        </w:rPr>
        <w:t>h</w:t>
      </w:r>
      <w:r w:rsidRPr="00191596">
        <w:rPr>
          <w:rFonts w:ascii="Cambria" w:hAnsi="Cambria"/>
          <w:sz w:val="20"/>
          <w:szCs w:val="20"/>
        </w:rPr>
        <w:t>exahydrocannabinol</w:t>
      </w:r>
      <w:proofErr w:type="spellEnd"/>
      <w:r w:rsidRPr="00191596">
        <w:rPr>
          <w:rFonts w:ascii="Cambria" w:hAnsi="Cambria"/>
          <w:sz w:val="20"/>
          <w:szCs w:val="20"/>
        </w:rPr>
        <w:t xml:space="preserve"> (HHC), produit dérivé du </w:t>
      </w:r>
      <w:r w:rsidRPr="00BF7DBC">
        <w:rPr>
          <w:rFonts w:ascii="Cambria" w:hAnsi="Cambria"/>
          <w:sz w:val="20"/>
          <w:szCs w:val="20"/>
        </w:rPr>
        <w:t>cannabis,</w:t>
      </w:r>
      <w:r w:rsidRPr="00191596">
        <w:rPr>
          <w:rFonts w:ascii="Cambria" w:hAnsi="Cambria"/>
          <w:sz w:val="20"/>
          <w:szCs w:val="20"/>
        </w:rPr>
        <w:t xml:space="preserve"> a permis aux tenanciers de</w:t>
      </w:r>
      <w:r>
        <w:rPr>
          <w:rFonts w:ascii="Cambria" w:hAnsi="Cambria"/>
          <w:sz w:val="20"/>
          <w:szCs w:val="20"/>
        </w:rPr>
        <w:t>s</w:t>
      </w:r>
      <w:r w:rsidRPr="00191596">
        <w:rPr>
          <w:rFonts w:ascii="Cambria" w:hAnsi="Cambria"/>
          <w:sz w:val="20"/>
          <w:szCs w:val="20"/>
        </w:rPr>
        <w:t xml:space="preserve"> boutiques CBD de se faire des choux gras à bon compte.</w:t>
      </w:r>
    </w:p>
    <w:p w:rsidR="00975C47" w:rsidRPr="00191596" w:rsidRDefault="00975C47" w:rsidP="00975C47">
      <w:pPr>
        <w:ind w:firstLine="708"/>
        <w:jc w:val="both"/>
        <w:rPr>
          <w:rFonts w:ascii="Cambria" w:hAnsi="Cambria"/>
          <w:sz w:val="20"/>
          <w:szCs w:val="20"/>
        </w:rPr>
      </w:pPr>
      <w:r w:rsidRPr="00191596">
        <w:rPr>
          <w:rFonts w:ascii="Cambria" w:hAnsi="Cambria"/>
          <w:sz w:val="20"/>
          <w:szCs w:val="20"/>
        </w:rPr>
        <w:t xml:space="preserve">Nous ne savons pas si François BRAUN est supporter de Rafaël </w:t>
      </w:r>
      <w:r w:rsidRPr="00BF7DBC">
        <w:rPr>
          <w:rFonts w:ascii="Cambria" w:hAnsi="Cambria"/>
          <w:sz w:val="20"/>
          <w:szCs w:val="20"/>
        </w:rPr>
        <w:t>Nadal. Nous savons</w:t>
      </w:r>
      <w:r w:rsidRPr="00191596">
        <w:rPr>
          <w:rFonts w:ascii="Cambria" w:hAnsi="Cambria"/>
          <w:sz w:val="20"/>
          <w:szCs w:val="20"/>
        </w:rPr>
        <w:t xml:space="preserve"> en tout cas qu’il a reconnu qu’il « </w:t>
      </w:r>
      <w:r w:rsidRPr="00191596">
        <w:rPr>
          <w:rFonts w:ascii="Cambria" w:hAnsi="Cambria"/>
          <w:i/>
          <w:sz w:val="20"/>
          <w:szCs w:val="20"/>
        </w:rPr>
        <w:t>y a</w:t>
      </w:r>
      <w:r>
        <w:rPr>
          <w:rFonts w:ascii="Cambria" w:hAnsi="Cambria"/>
          <w:i/>
          <w:sz w:val="20"/>
          <w:szCs w:val="20"/>
        </w:rPr>
        <w:t>vait</w:t>
      </w:r>
      <w:r w:rsidRPr="00191596">
        <w:rPr>
          <w:rFonts w:ascii="Cambria" w:hAnsi="Cambria"/>
          <w:i/>
          <w:sz w:val="20"/>
          <w:szCs w:val="20"/>
        </w:rPr>
        <w:t xml:space="preserve"> un trou dans la raquette</w:t>
      </w:r>
      <w:r w:rsidRPr="00191596">
        <w:rPr>
          <w:rFonts w:ascii="Cambria" w:hAnsi="Cambria"/>
          <w:sz w:val="20"/>
          <w:szCs w:val="20"/>
        </w:rPr>
        <w:t xml:space="preserve"> », trou, dit-il, </w:t>
      </w:r>
      <w:r w:rsidRPr="00191596">
        <w:rPr>
          <w:rFonts w:ascii="Cambria" w:hAnsi="Cambria"/>
          <w:i/>
          <w:sz w:val="20"/>
          <w:szCs w:val="20"/>
        </w:rPr>
        <w:t>« qu’il faut combler rapidement pour ne plus avoir cette vente libre qui est tout à fait anormale »</w:t>
      </w:r>
      <w:r w:rsidRPr="00191596">
        <w:rPr>
          <w:rFonts w:ascii="Cambria" w:hAnsi="Cambria"/>
          <w:sz w:val="20"/>
          <w:szCs w:val="20"/>
        </w:rPr>
        <w:t xml:space="preserve">. </w:t>
      </w:r>
    </w:p>
    <w:p w:rsidR="00975C47" w:rsidRPr="00191596" w:rsidRDefault="00975C47" w:rsidP="00975C47">
      <w:pPr>
        <w:ind w:firstLine="708"/>
        <w:jc w:val="both"/>
        <w:rPr>
          <w:rFonts w:ascii="Cambria" w:hAnsi="Cambria"/>
          <w:sz w:val="20"/>
          <w:szCs w:val="20"/>
        </w:rPr>
      </w:pPr>
      <w:r w:rsidRPr="00191596">
        <w:rPr>
          <w:rFonts w:ascii="Cambria" w:hAnsi="Cambria"/>
          <w:sz w:val="20"/>
          <w:szCs w:val="20"/>
        </w:rPr>
        <w:t>Ces propos ayant été enregistrés par l’AFP et repris par de nombreux supports de presse, il n’en fallait pas plus pour provoquer une ruée sur les</w:t>
      </w:r>
      <w:r>
        <w:rPr>
          <w:rFonts w:ascii="Cambria" w:hAnsi="Cambria"/>
          <w:sz w:val="20"/>
          <w:szCs w:val="20"/>
        </w:rPr>
        <w:t>dites</w:t>
      </w:r>
      <w:r w:rsidRPr="00191596">
        <w:rPr>
          <w:rFonts w:ascii="Cambria" w:hAnsi="Cambria"/>
          <w:sz w:val="20"/>
          <w:szCs w:val="20"/>
        </w:rPr>
        <w:t xml:space="preserve"> boutiques où les bricoleurs de la « semi-synthèse » du cannabis s’en sont donné à cœur joie pour vendre leur poison à des tarifs promotionnels :  5 grammes pour 45 Euros. Qui dit mieux ? Mais on le vend aussi en infusion et même dans les confiseries.</w:t>
      </w:r>
    </w:p>
    <w:p w:rsidR="00975C47" w:rsidRPr="00191596" w:rsidRDefault="00975C47" w:rsidP="00975C47">
      <w:pPr>
        <w:pStyle w:val="NormalWeb"/>
        <w:ind w:firstLine="708"/>
        <w:jc w:val="both"/>
        <w:rPr>
          <w:rFonts w:ascii="Cambria" w:hAnsi="Cambria"/>
        </w:rPr>
      </w:pPr>
      <w:r w:rsidRPr="00191596">
        <w:rPr>
          <w:rFonts w:ascii="Cambria" w:hAnsi="Cambria"/>
        </w:rPr>
        <w:t>Interrogée par France3 Régions à Clermont-Ferrand, une gérante de boutique se confie au journaliste : « </w:t>
      </w:r>
      <w:r w:rsidRPr="00191596">
        <w:rPr>
          <w:rStyle w:val="Accentuation"/>
          <w:rFonts w:ascii="Cambria" w:hAnsi="Cambria"/>
        </w:rPr>
        <w:t xml:space="preserve">Le HHC c’est vraiment la poule aux œufs d’or. On a augmenté drastiquement notre chiffre d’affaires. On verra ensuite comment cela se passera. </w:t>
      </w:r>
      <w:r w:rsidRPr="00191596">
        <w:rPr>
          <w:rStyle w:val="Accentuation"/>
          <w:rFonts w:ascii="Cambria" w:hAnsi="Cambria"/>
          <w:b/>
        </w:rPr>
        <w:t>Cela nous préoccupe</w:t>
      </w:r>
      <w:r w:rsidRPr="00191596">
        <w:rPr>
          <w:rFonts w:ascii="Cambria" w:hAnsi="Cambria"/>
        </w:rPr>
        <w:t xml:space="preserve"> ».</w:t>
      </w:r>
    </w:p>
    <w:p w:rsidR="00975C47" w:rsidRPr="00191596" w:rsidRDefault="00975C47" w:rsidP="00975C47">
      <w:pPr>
        <w:pStyle w:val="NormalWeb"/>
        <w:ind w:firstLine="708"/>
        <w:jc w:val="both"/>
        <w:rPr>
          <w:rStyle w:val="Accentuation"/>
          <w:rFonts w:ascii="Cambria" w:hAnsi="Cambria"/>
        </w:rPr>
      </w:pPr>
      <w:r w:rsidRPr="00191596">
        <w:rPr>
          <w:rFonts w:ascii="Cambria" w:hAnsi="Cambria"/>
        </w:rPr>
        <w:t>Nous pourrions partager ses préoccupations sur la disparition prochaine de cette volaille aux pontes si généreuses, mais nous préférons prendre en compte l’avis de Nicolas Authier, chef du service de pharmacologie médicale du CHU de Clermont-Ferrand, qui indique à la journaliste : « </w:t>
      </w:r>
      <w:r w:rsidRPr="00191596">
        <w:rPr>
          <w:rStyle w:val="Accentuation"/>
          <w:rFonts w:ascii="Cambria" w:hAnsi="Cambria"/>
        </w:rPr>
        <w:t xml:space="preserve">Le HHC est une substance de synthèse fabriquée à partir du CBD. Le CBD est très peu psychoactif et le HCC est plus psychoactif. Il se rapproche du THC en termes d’effets sur le cerveau. C’est la première fois qu’une molécule de synthèse apparaît aussi largement et aussi rapidement sur le marché, en s’appuyant sur des commerces légaux. Si on se base sur le fait qu’il s’accroche aux mêmes récepteurs que le THC et qu’il a les </w:t>
      </w:r>
      <w:r w:rsidRPr="00BF7DBC">
        <w:rPr>
          <w:rStyle w:val="Accentuation"/>
          <w:rFonts w:ascii="Cambria" w:hAnsi="Cambria"/>
        </w:rPr>
        <w:t xml:space="preserve">mêmes conséquences, le HHC a aussi les mêmes effets indésirables :  </w:t>
      </w:r>
      <w:r w:rsidRPr="00BF7DBC">
        <w:rPr>
          <w:rStyle w:val="Accentuation"/>
          <w:rFonts w:ascii="Cambria" w:hAnsi="Cambria"/>
          <w:strike/>
        </w:rPr>
        <w:t>ils</w:t>
      </w:r>
      <w:r w:rsidRPr="00191596">
        <w:rPr>
          <w:rStyle w:val="Accentuation"/>
          <w:rFonts w:ascii="Cambria" w:hAnsi="Cambria"/>
        </w:rPr>
        <w:t xml:space="preserve"> sont neurologiques, </w:t>
      </w:r>
      <w:r>
        <w:rPr>
          <w:rStyle w:val="Accentuation"/>
          <w:rFonts w:ascii="Cambria" w:hAnsi="Cambria"/>
        </w:rPr>
        <w:t>effets sédatifs importants, vertiges,</w:t>
      </w:r>
      <w:r w:rsidRPr="00191596">
        <w:rPr>
          <w:rStyle w:val="Accentuation"/>
          <w:rFonts w:ascii="Cambria" w:hAnsi="Cambria"/>
        </w:rPr>
        <w:t xml:space="preserve"> troubles du comportement. Il y a aussi des effets psychiatriques, notamment des crises d’angoisse extrêmement importantes, ou de la paranoïa. Pour l’instant, il paraît logique que la réglementation sur le HHC </w:t>
      </w:r>
      <w:r w:rsidRPr="00191596">
        <w:rPr>
          <w:rStyle w:val="Accentuation"/>
          <w:rFonts w:ascii="Cambria" w:hAnsi="Cambria"/>
        </w:rPr>
        <w:t xml:space="preserve">se rapproche de celle sur le THC et que cette substance rentre dans la liste de stupéfiants, à condition d’avoir suffisamment </w:t>
      </w:r>
      <w:r w:rsidRPr="00096F2F">
        <w:rPr>
          <w:rStyle w:val="Accentuation"/>
          <w:rFonts w:ascii="Cambria" w:hAnsi="Cambria"/>
        </w:rPr>
        <w:t>de connaissances</w:t>
      </w:r>
      <w:r>
        <w:rPr>
          <w:rStyle w:val="Accentuation"/>
          <w:rFonts w:ascii="Cambria" w:hAnsi="Cambria"/>
        </w:rPr>
        <w:t xml:space="preserve"> </w:t>
      </w:r>
      <w:r w:rsidRPr="00191596">
        <w:rPr>
          <w:rStyle w:val="Accentuation"/>
          <w:rFonts w:ascii="Cambria" w:hAnsi="Cambria"/>
        </w:rPr>
        <w:t>pour pouvoir le justifier, des données sur les risques, la dépendance, l’addiction. »</w:t>
      </w:r>
    </w:p>
    <w:p w:rsidR="00975C47" w:rsidRPr="00191596" w:rsidRDefault="00975C47" w:rsidP="00975C47">
      <w:pPr>
        <w:pStyle w:val="NormalWeb"/>
        <w:ind w:firstLine="708"/>
        <w:jc w:val="both"/>
        <w:rPr>
          <w:rStyle w:val="Accentuation"/>
          <w:rFonts w:ascii="Cambria" w:hAnsi="Cambria"/>
        </w:rPr>
      </w:pPr>
      <w:r w:rsidRPr="00191596">
        <w:rPr>
          <w:rStyle w:val="Accentuation"/>
          <w:rFonts w:ascii="Cambria" w:hAnsi="Cambria"/>
        </w:rPr>
        <w:t>Mais pourquoi tarder ? Monsieur BRAUN ne dispose-t-il donc d’aucun pouvoir pour prendre des mesures conservatoires dans l’attente d’un avis de l’ANSM ? Toujours à Clermont-Ferrand un autre gérant de boutique CBD, lui aussi interviewé, lance au moins un avertissement sans frais et</w:t>
      </w:r>
      <w:r w:rsidRPr="00191596">
        <w:rPr>
          <w:rFonts w:ascii="Cambria" w:hAnsi="Cambria"/>
        </w:rPr>
        <w:t xml:space="preserve"> souligne : «</w:t>
      </w:r>
      <w:r w:rsidRPr="00191596">
        <w:rPr>
          <w:rStyle w:val="Accentuation"/>
          <w:rFonts w:ascii="Cambria" w:hAnsi="Cambria"/>
        </w:rPr>
        <w:t xml:space="preserve"> C’est une molécule psychoactive donc je pense que c’est mieux qu’elle soit interdite. C’est une molécule qui bénéficie d’une faille juridique, plus pour très longtemps. C’est une molécule qui peut engendrer de graves problématiques, si on doit garder des enfants ou si on doit conduire.</w:t>
      </w:r>
    </w:p>
    <w:p w:rsidR="00975C47" w:rsidRPr="00CA1718" w:rsidRDefault="00975C47" w:rsidP="00975C47">
      <w:pPr>
        <w:widowControl w:val="0"/>
        <w:autoSpaceDE w:val="0"/>
        <w:autoSpaceDN w:val="0"/>
        <w:adjustRightInd w:val="0"/>
        <w:spacing w:after="240" w:line="360" w:lineRule="atLeast"/>
        <w:rPr>
          <w:rFonts w:ascii="Times" w:hAnsi="Times" w:cs="Times"/>
          <w:b/>
          <w:sz w:val="28"/>
          <w:szCs w:val="28"/>
          <w:lang w:eastAsia="fr-FR"/>
        </w:rPr>
      </w:pPr>
      <w:r w:rsidRPr="00CA1718">
        <w:rPr>
          <w:rFonts w:ascii="Times" w:hAnsi="Times" w:cs="Times"/>
          <w:b/>
          <w:sz w:val="28"/>
          <w:szCs w:val="28"/>
          <w:lang w:eastAsia="fr-FR"/>
        </w:rPr>
        <w:t xml:space="preserve">Association entre les troubles liés au cannabis et la schizophrénie, particulièrement chez les hommes jeunes : un constat au Danemark. </w:t>
      </w:r>
    </w:p>
    <w:p w:rsidR="00975C47" w:rsidRDefault="00975C47" w:rsidP="00975C47">
      <w:pPr>
        <w:widowControl w:val="0"/>
        <w:autoSpaceDE w:val="0"/>
        <w:autoSpaceDN w:val="0"/>
        <w:adjustRightInd w:val="0"/>
        <w:spacing w:after="240" w:line="240" w:lineRule="auto"/>
        <w:ind w:firstLine="708"/>
        <w:jc w:val="both"/>
        <w:rPr>
          <w:rFonts w:ascii="Times" w:hAnsi="Times" w:cs="Times"/>
          <w:lang w:eastAsia="fr-FR"/>
        </w:rPr>
      </w:pPr>
      <w:r w:rsidRPr="00096F2F">
        <w:rPr>
          <w:rFonts w:ascii="Times" w:hAnsi="Times" w:cs="Times"/>
          <w:lang w:eastAsia="fr-FR"/>
        </w:rPr>
        <w:t>Une étud</w:t>
      </w:r>
      <w:r>
        <w:rPr>
          <w:rFonts w:ascii="Times" w:hAnsi="Times" w:cs="Times"/>
          <w:lang w:eastAsia="fr-FR"/>
        </w:rPr>
        <w:t xml:space="preserve">e par </w:t>
      </w:r>
      <w:proofErr w:type="spellStart"/>
      <w:r>
        <w:rPr>
          <w:rFonts w:ascii="Times" w:hAnsi="Times" w:cs="Times"/>
          <w:lang w:eastAsia="fr-FR"/>
        </w:rPr>
        <w:t>Hjorthøj</w:t>
      </w:r>
      <w:proofErr w:type="spellEnd"/>
      <w:r>
        <w:rPr>
          <w:rFonts w:ascii="Times" w:hAnsi="Times" w:cs="Times"/>
          <w:lang w:eastAsia="fr-FR"/>
        </w:rPr>
        <w:t xml:space="preserve"> et al. </w:t>
      </w:r>
      <w:proofErr w:type="gramStart"/>
      <w:r>
        <w:rPr>
          <w:rFonts w:ascii="Times" w:hAnsi="Times" w:cs="Times"/>
          <w:lang w:eastAsia="fr-FR"/>
        </w:rPr>
        <w:t>vient</w:t>
      </w:r>
      <w:proofErr w:type="gramEnd"/>
      <w:r>
        <w:rPr>
          <w:rFonts w:ascii="Times" w:hAnsi="Times" w:cs="Times"/>
          <w:lang w:eastAsia="fr-FR"/>
        </w:rPr>
        <w:t xml:space="preserve"> d’être publiée </w:t>
      </w:r>
      <w:r w:rsidRPr="00CA1718">
        <w:rPr>
          <w:rFonts w:ascii="Times" w:hAnsi="Times" w:cs="Times"/>
          <w:lang w:eastAsia="fr-FR"/>
        </w:rPr>
        <w:t>dans «</w:t>
      </w:r>
      <w:proofErr w:type="spellStart"/>
      <w:r w:rsidRPr="00CA1718">
        <w:rPr>
          <w:rFonts w:ascii="Times" w:hAnsi="Times" w:cs="Times"/>
          <w:lang w:eastAsia="fr-FR"/>
        </w:rPr>
        <w:t>Psychological</w:t>
      </w:r>
      <w:proofErr w:type="spellEnd"/>
      <w:r w:rsidRPr="00CA1718">
        <w:rPr>
          <w:rFonts w:ascii="Times" w:hAnsi="Times" w:cs="Times"/>
          <w:lang w:eastAsia="fr-FR"/>
        </w:rPr>
        <w:t xml:space="preserve"> </w:t>
      </w:r>
      <w:proofErr w:type="spellStart"/>
      <w:r w:rsidRPr="00CA1718">
        <w:rPr>
          <w:rFonts w:ascii="Times" w:hAnsi="Times" w:cs="Times"/>
          <w:lang w:eastAsia="fr-FR"/>
        </w:rPr>
        <w:t>Medicine</w:t>
      </w:r>
      <w:proofErr w:type="spellEnd"/>
      <w:r w:rsidRPr="00CA1718">
        <w:rPr>
          <w:rFonts w:ascii="Times" w:hAnsi="Times" w:cs="Times"/>
          <w:lang w:eastAsia="fr-FR"/>
        </w:rPr>
        <w:t> »*</w:t>
      </w:r>
      <w:r>
        <w:rPr>
          <w:rFonts w:ascii="Times" w:hAnsi="Times" w:cs="Times"/>
          <w:lang w:eastAsia="fr-FR"/>
        </w:rPr>
        <w:t>(mai 2023)</w:t>
      </w:r>
      <w:r w:rsidRPr="00CA1718">
        <w:rPr>
          <w:rFonts w:ascii="Times" w:hAnsi="Times" w:cs="Times"/>
          <w:lang w:eastAsia="fr-FR"/>
        </w:rPr>
        <w:t xml:space="preserve">. </w:t>
      </w:r>
      <w:r w:rsidRPr="00854FF4">
        <w:rPr>
          <w:rFonts w:ascii="Times" w:hAnsi="Times" w:cs="Times"/>
          <w:lang w:eastAsia="fr-FR"/>
        </w:rPr>
        <w:t>Elle concerne la responsabilité du cannabis dans la</w:t>
      </w:r>
      <w:r w:rsidRPr="00CA1718">
        <w:rPr>
          <w:rFonts w:ascii="Times" w:hAnsi="Times" w:cs="Times"/>
          <w:lang w:eastAsia="fr-FR"/>
        </w:rPr>
        <w:t xml:space="preserve"> schizophrénie. Au Danemark son incidence a régulièrement progressé depuis l’an 2000 avec l’augmentation du nombre de ses consommateurs et la teneur de la drogue en THC. Ce lien est approfondi ici, à partir des données de registres danois. Les conclusions sont les suivantes : l’association entre les troubles liés à la consommation de cannabis et la survenue consécutive de schizophrénie est considérée comme certaine ; elle est globalement et significativement (p &lt; 0,001) plus importante chez les hommes que chez les femmes, mais c’est chez les hommes les plus jeunes que cette prédominance est la plus marquée.                            </w:t>
      </w:r>
    </w:p>
    <w:p w:rsidR="00975C47" w:rsidRPr="00CA1718" w:rsidRDefault="00975C47" w:rsidP="00975C47">
      <w:pPr>
        <w:widowControl w:val="0"/>
        <w:autoSpaceDE w:val="0"/>
        <w:autoSpaceDN w:val="0"/>
        <w:adjustRightInd w:val="0"/>
        <w:spacing w:after="240" w:line="240" w:lineRule="auto"/>
        <w:ind w:firstLine="708"/>
        <w:jc w:val="both"/>
        <w:rPr>
          <w:rFonts w:ascii="Times" w:hAnsi="Times" w:cs="Times"/>
          <w:lang w:eastAsia="fr-FR"/>
        </w:rPr>
      </w:pPr>
      <w:r w:rsidRPr="00CA1718">
        <w:rPr>
          <w:rFonts w:ascii="Times" w:hAnsi="Times" w:cs="Times"/>
          <w:lang w:eastAsia="fr-FR"/>
        </w:rPr>
        <w:t xml:space="preserve">Le lien entre les troubles liés au cannabis et la schizophrénie est décrit ainsi : </w:t>
      </w:r>
    </w:p>
    <w:p w:rsidR="00975C47" w:rsidRPr="00CA1718" w:rsidRDefault="00975C47" w:rsidP="00975C47">
      <w:pPr>
        <w:widowControl w:val="0"/>
        <w:tabs>
          <w:tab w:val="left" w:pos="220"/>
        </w:tabs>
        <w:autoSpaceDE w:val="0"/>
        <w:autoSpaceDN w:val="0"/>
        <w:adjustRightInd w:val="0"/>
        <w:spacing w:after="240" w:line="240" w:lineRule="auto"/>
        <w:ind w:hanging="578"/>
        <w:jc w:val="both"/>
        <w:rPr>
          <w:rFonts w:ascii="Times" w:hAnsi="Times" w:cs="Times"/>
          <w:lang w:eastAsia="fr-FR"/>
        </w:rPr>
      </w:pPr>
      <w:r w:rsidRPr="00CA1718">
        <w:rPr>
          <w:rFonts w:ascii="Times" w:hAnsi="Times" w:cs="Times"/>
          <w:lang w:eastAsia="fr-FR"/>
        </w:rPr>
        <w:t xml:space="preserve"> </w:t>
      </w:r>
      <w:r w:rsidRPr="00CA1718">
        <w:rPr>
          <w:rFonts w:ascii="Times" w:hAnsi="Times" w:cs="Times"/>
          <w:lang w:eastAsia="fr-FR"/>
        </w:rPr>
        <w:tab/>
      </w:r>
      <w:r w:rsidRPr="00CA1718">
        <w:rPr>
          <w:rFonts w:ascii="Times" w:hAnsi="Times" w:cs="Times"/>
          <w:lang w:eastAsia="fr-FR"/>
        </w:rPr>
        <w:tab/>
        <w:t xml:space="preserve">Les résultats de cette étude montrent un lien statistiquement significatif entre la consommation de cannabis et la schizophrénie. L’hypothèse selon laquelle une vulnérabilité préexistant à la schizophrénie inciterait à la consommation de cannabis ne peut être exclue à partir de cette étude. Pour exclure cette hypothèse il faudrait effectuer un essai randomisé administrant du cannabis versus un placebo à des sujets sains, avec un suivi à long terme. L’éthique s’accorderait mal de ce type d’essai ! </w:t>
      </w:r>
    </w:p>
    <w:p w:rsidR="00975C47" w:rsidRPr="00CA1718" w:rsidRDefault="00975C47" w:rsidP="00975C47">
      <w:pPr>
        <w:widowControl w:val="0"/>
        <w:autoSpaceDE w:val="0"/>
        <w:autoSpaceDN w:val="0"/>
        <w:adjustRightInd w:val="0"/>
        <w:spacing w:after="240" w:line="240" w:lineRule="auto"/>
        <w:ind w:firstLine="708"/>
        <w:jc w:val="both"/>
        <w:rPr>
          <w:rFonts w:ascii="Times" w:hAnsi="Times" w:cs="Times"/>
          <w:lang w:eastAsia="fr-FR"/>
        </w:rPr>
      </w:pPr>
      <w:r w:rsidRPr="00CA1718">
        <w:rPr>
          <w:rFonts w:ascii="Times" w:hAnsi="Times" w:cs="Times"/>
          <w:lang w:eastAsia="fr-FR"/>
        </w:rPr>
        <w:t xml:space="preserve">Cette étude, même si elle est observationnelle, a donc toute sa valeur. Même si le lien de causalité du cannabis sur la survenue de schizophrénie n’est pas formellement démontré, cette hypothèse est fortement étayée par la robustesse de l’analyse, cette étude </w:t>
      </w:r>
      <w:r w:rsidRPr="00CA1718">
        <w:rPr>
          <w:rFonts w:ascii="Times" w:hAnsi="Times" w:cs="Times"/>
          <w:lang w:eastAsia="fr-FR"/>
        </w:rPr>
        <w:lastRenderedPageBreak/>
        <w:t>portant sur 6.900.000 personnes, âgées de 16 à 49 ans, entre 1972 et 2021; 45.327 cas de schizophrénie ayant été observés ; il a été tenu compte de l’âge, du sexe, des troubles psychiatriques en lien avec la consommation de cannabis et de la schizophrénie; mais ont été aussi pris en compte des facteurs de confusions potentiels tels que des troubles liés à la consommation d’alcool, d’autres drogues que le cannabis ou d’autres maladies psychiatriques; les antécédents familiaux ont aussi été recueillis. Les variations potentielles au cours du temps de troubles liés au cannabis et des taux de schizophrénie, secondaires ou non, ont également été modélisées, globalement et selon l’âge et le sexe. Les auteurs font remarquer que les troubles liés à la consommation de cannabis ne son</w:t>
      </w:r>
      <w:r>
        <w:rPr>
          <w:rFonts w:ascii="Times" w:hAnsi="Times" w:cs="Times"/>
          <w:lang w:eastAsia="fr-FR"/>
        </w:rPr>
        <w:t>t pas responsables de la majorité</w:t>
      </w:r>
      <w:r w:rsidRPr="00CA1718">
        <w:rPr>
          <w:rFonts w:ascii="Times" w:hAnsi="Times" w:cs="Times"/>
          <w:lang w:eastAsia="fr-FR"/>
        </w:rPr>
        <w:t xml:space="preserve"> des cas de schizophrénie au Danemark, mais qu’ils y contribuent dans une proportion non négligeable. Ce phénomène est en augmentation constante au cours des cinq dernières décennies. En admettant qu’il y a bien un lien de causalité, en 2021, environ 15 % des cas récents de schizophrénie chez les hommes et 4 % chez les femmes, auraient été évités en l’absence de consommation de cannabis. Chez les hommes jeunes, la proportion de cas évitables pourrait atteindre 30 %. </w:t>
      </w:r>
    </w:p>
    <w:p w:rsidR="00975C47" w:rsidRPr="00F12F82" w:rsidRDefault="00975C47" w:rsidP="00975C47">
      <w:pPr>
        <w:widowControl w:val="0"/>
        <w:autoSpaceDE w:val="0"/>
        <w:autoSpaceDN w:val="0"/>
        <w:adjustRightInd w:val="0"/>
        <w:spacing w:after="240" w:line="240" w:lineRule="auto"/>
        <w:ind w:firstLine="708"/>
        <w:jc w:val="both"/>
        <w:rPr>
          <w:rFonts w:ascii="Times" w:hAnsi="Times" w:cs="Times"/>
          <w:lang w:val="en-GB" w:eastAsia="fr-FR"/>
        </w:rPr>
      </w:pPr>
      <w:r w:rsidRPr="00CA1718">
        <w:rPr>
          <w:rFonts w:ascii="Times" w:hAnsi="Times" w:cs="Times"/>
          <w:lang w:eastAsia="fr-FR"/>
        </w:rPr>
        <w:t>Dans tous les cas, cette étude rappelle la nécessité de détection et de traitement rapide de troubles liés à la consommation de cannabis. Elle souligne l’importance des efforts ciblés de prévention et d’interventions en santé publique.</w:t>
      </w:r>
      <w:r w:rsidRPr="00CA1718">
        <w:rPr>
          <w:rFonts w:ascii="MS Mincho" w:eastAsia="MS Mincho" w:hAnsi="MS Mincho" w:cs="MS Mincho" w:hint="eastAsia"/>
          <w:lang w:eastAsia="fr-FR"/>
        </w:rPr>
        <w:t> </w:t>
      </w:r>
      <w:r w:rsidRPr="00CA1718">
        <w:rPr>
          <w:rFonts w:ascii="Times" w:hAnsi="Times" w:cs="Times"/>
          <w:lang w:eastAsia="fr-FR"/>
        </w:rPr>
        <w:t xml:space="preserve"> Les discussions stratégiques en cours sur la légalisation et la réglementation de la consommation de cannabis devraient tenir compte des risques soulignés par ce type d’étude. </w:t>
      </w:r>
      <w:r>
        <w:rPr>
          <w:rFonts w:ascii="Times" w:hAnsi="Times" w:cs="Times"/>
          <w:lang w:eastAsia="fr-FR"/>
        </w:rPr>
        <w:t xml:space="preserve">                       </w:t>
      </w:r>
      <w:r w:rsidRPr="00CA1718">
        <w:rPr>
          <w:rFonts w:ascii="Times" w:hAnsi="Times" w:cs="Times"/>
          <w:lang w:eastAsia="fr-FR"/>
        </w:rPr>
        <w:t xml:space="preserve"> </w:t>
      </w:r>
      <w:r w:rsidRPr="00096F2F">
        <w:rPr>
          <w:rFonts w:ascii="Times" w:hAnsi="Times" w:cs="Times"/>
          <w:b/>
          <w:sz w:val="28"/>
          <w:szCs w:val="28"/>
          <w:lang w:val="en-GB" w:eastAsia="fr-FR"/>
        </w:rPr>
        <w:t xml:space="preserve">Dr </w:t>
      </w:r>
      <w:proofErr w:type="spellStart"/>
      <w:r w:rsidRPr="00096F2F">
        <w:rPr>
          <w:rFonts w:ascii="Times" w:hAnsi="Times" w:cs="Times"/>
          <w:b/>
          <w:sz w:val="28"/>
          <w:szCs w:val="28"/>
          <w:lang w:val="en-GB" w:eastAsia="fr-FR"/>
        </w:rPr>
        <w:t>Joëlle</w:t>
      </w:r>
      <w:proofErr w:type="spellEnd"/>
      <w:r w:rsidRPr="00096F2F">
        <w:rPr>
          <w:rFonts w:ascii="Times" w:hAnsi="Times" w:cs="Times"/>
          <w:b/>
          <w:sz w:val="28"/>
          <w:szCs w:val="28"/>
          <w:lang w:val="en-GB" w:eastAsia="fr-FR"/>
        </w:rPr>
        <w:t xml:space="preserve"> </w:t>
      </w:r>
      <w:proofErr w:type="spellStart"/>
      <w:r w:rsidRPr="00096F2F">
        <w:rPr>
          <w:rFonts w:ascii="Times" w:hAnsi="Times" w:cs="Times"/>
          <w:b/>
          <w:sz w:val="28"/>
          <w:szCs w:val="28"/>
          <w:lang w:val="en-GB" w:eastAsia="fr-FR"/>
        </w:rPr>
        <w:t>Guilhot</w:t>
      </w:r>
      <w:proofErr w:type="spellEnd"/>
      <w:r w:rsidRPr="00096F2F">
        <w:rPr>
          <w:rFonts w:ascii="Times" w:hAnsi="Times" w:cs="Times"/>
          <w:b/>
          <w:sz w:val="28"/>
          <w:szCs w:val="28"/>
          <w:lang w:val="en-GB" w:eastAsia="fr-FR"/>
        </w:rPr>
        <w:t>.</w:t>
      </w:r>
      <w:r w:rsidRPr="00F12F82">
        <w:rPr>
          <w:rFonts w:ascii="Times" w:hAnsi="Times" w:cs="Times"/>
          <w:lang w:val="en-GB" w:eastAsia="fr-FR"/>
        </w:rPr>
        <w:t xml:space="preserve"> </w:t>
      </w:r>
    </w:p>
    <w:p w:rsidR="00975C47" w:rsidRPr="00975C47" w:rsidRDefault="00975C47" w:rsidP="00975C47">
      <w:pPr>
        <w:widowControl w:val="0"/>
        <w:autoSpaceDE w:val="0"/>
        <w:autoSpaceDN w:val="0"/>
        <w:adjustRightInd w:val="0"/>
        <w:spacing w:after="240" w:line="240" w:lineRule="auto"/>
        <w:jc w:val="both"/>
        <w:rPr>
          <w:rFonts w:ascii="Times" w:hAnsi="Times" w:cs="Times"/>
          <w:i/>
          <w:iCs/>
          <w:color w:val="0B4CB4"/>
          <w:lang w:eastAsia="fr-FR"/>
        </w:rPr>
      </w:pPr>
      <w:r w:rsidRPr="00975C47">
        <w:rPr>
          <w:rFonts w:ascii="Times" w:hAnsi="Times" w:cs="Times"/>
          <w:i/>
          <w:iCs/>
          <w:lang w:val="en-GB" w:eastAsia="fr-FR"/>
        </w:rPr>
        <w:t>*</w:t>
      </w:r>
      <w:proofErr w:type="spellStart"/>
      <w:r w:rsidRPr="00975C47">
        <w:rPr>
          <w:rFonts w:ascii="Times" w:hAnsi="Times" w:cs="Times"/>
          <w:i/>
          <w:iCs/>
          <w:lang w:val="en-GB" w:eastAsia="fr-FR"/>
        </w:rPr>
        <w:t>Hjorthøj</w:t>
      </w:r>
      <w:proofErr w:type="spellEnd"/>
      <w:r w:rsidRPr="00975C47">
        <w:rPr>
          <w:rFonts w:ascii="Times" w:hAnsi="Times" w:cs="Times"/>
          <w:i/>
          <w:iCs/>
          <w:lang w:val="en-GB" w:eastAsia="fr-FR"/>
        </w:rPr>
        <w:t xml:space="preserve"> C, Compton W, </w:t>
      </w:r>
      <w:proofErr w:type="spellStart"/>
      <w:r w:rsidRPr="00975C47">
        <w:rPr>
          <w:rFonts w:ascii="Times" w:hAnsi="Times" w:cs="Times"/>
          <w:i/>
          <w:iCs/>
          <w:lang w:val="en-GB" w:eastAsia="fr-FR"/>
        </w:rPr>
        <w:t>Starzer</w:t>
      </w:r>
      <w:proofErr w:type="spellEnd"/>
      <w:r w:rsidRPr="00975C47">
        <w:rPr>
          <w:rFonts w:ascii="Times" w:hAnsi="Times" w:cs="Times"/>
          <w:i/>
          <w:iCs/>
          <w:lang w:val="en-GB" w:eastAsia="fr-FR"/>
        </w:rPr>
        <w:t xml:space="preserve"> M, </w:t>
      </w:r>
      <w:proofErr w:type="spellStart"/>
      <w:r w:rsidRPr="00975C47">
        <w:rPr>
          <w:rFonts w:ascii="Times" w:hAnsi="Times" w:cs="Times"/>
          <w:i/>
          <w:iCs/>
          <w:lang w:val="en-GB" w:eastAsia="fr-FR"/>
        </w:rPr>
        <w:t>Nordholm</w:t>
      </w:r>
      <w:proofErr w:type="spellEnd"/>
      <w:r w:rsidRPr="00975C47">
        <w:rPr>
          <w:rFonts w:ascii="Times" w:hAnsi="Times" w:cs="Times"/>
          <w:i/>
          <w:iCs/>
          <w:lang w:val="en-GB" w:eastAsia="fr-FR"/>
        </w:rPr>
        <w:t xml:space="preserve"> D, Einstein E, </w:t>
      </w:r>
      <w:proofErr w:type="spellStart"/>
      <w:r w:rsidRPr="00975C47">
        <w:rPr>
          <w:rFonts w:ascii="Times" w:hAnsi="Times" w:cs="Times"/>
          <w:i/>
          <w:iCs/>
          <w:lang w:val="en-GB" w:eastAsia="fr-FR"/>
        </w:rPr>
        <w:t>Erlangsen</w:t>
      </w:r>
      <w:proofErr w:type="spellEnd"/>
      <w:r w:rsidRPr="00975C47">
        <w:rPr>
          <w:rFonts w:ascii="Times" w:hAnsi="Times" w:cs="Times"/>
          <w:i/>
          <w:iCs/>
          <w:lang w:val="en-GB" w:eastAsia="fr-FR"/>
        </w:rPr>
        <w:t xml:space="preserve"> A, </w:t>
      </w:r>
      <w:proofErr w:type="spellStart"/>
      <w:r w:rsidRPr="00975C47">
        <w:rPr>
          <w:rFonts w:ascii="Times" w:hAnsi="Times" w:cs="Times"/>
          <w:i/>
          <w:iCs/>
          <w:lang w:val="en-GB" w:eastAsia="fr-FR"/>
        </w:rPr>
        <w:t>Nordentoft</w:t>
      </w:r>
      <w:proofErr w:type="spellEnd"/>
      <w:r w:rsidRPr="00975C47">
        <w:rPr>
          <w:rFonts w:ascii="Times" w:hAnsi="Times" w:cs="Times"/>
          <w:i/>
          <w:iCs/>
          <w:lang w:val="en-GB" w:eastAsia="fr-FR"/>
        </w:rPr>
        <w:t xml:space="preserve"> M, Volkow ND, Han B. Association between cannabis use disorder and schizophrenia stronger in young males than in females. </w:t>
      </w:r>
      <w:proofErr w:type="spellStart"/>
      <w:r w:rsidRPr="00975C47">
        <w:rPr>
          <w:rFonts w:ascii="Times" w:hAnsi="Times" w:cs="Times"/>
          <w:i/>
          <w:iCs/>
          <w:lang w:eastAsia="fr-FR"/>
        </w:rPr>
        <w:t>Psychological</w:t>
      </w:r>
      <w:proofErr w:type="spellEnd"/>
      <w:r w:rsidRPr="00975C47">
        <w:rPr>
          <w:rFonts w:ascii="Times" w:hAnsi="Times" w:cs="Times"/>
          <w:i/>
          <w:iCs/>
          <w:lang w:eastAsia="fr-FR"/>
        </w:rPr>
        <w:t xml:space="preserve"> </w:t>
      </w:r>
      <w:proofErr w:type="spellStart"/>
      <w:r w:rsidRPr="00975C47">
        <w:rPr>
          <w:rFonts w:ascii="Times" w:hAnsi="Times" w:cs="Times"/>
          <w:i/>
          <w:iCs/>
          <w:lang w:eastAsia="fr-FR"/>
        </w:rPr>
        <w:t>Medicine</w:t>
      </w:r>
      <w:proofErr w:type="spellEnd"/>
      <w:r w:rsidRPr="00975C47">
        <w:rPr>
          <w:rFonts w:ascii="Times" w:hAnsi="Times" w:cs="Times"/>
          <w:i/>
          <w:iCs/>
          <w:lang w:eastAsia="fr-FR"/>
        </w:rPr>
        <w:t xml:space="preserve">, 2023 ; May 4 :1 – 7. </w:t>
      </w:r>
    </w:p>
    <w:p w:rsidR="00975C47" w:rsidRPr="00096F2F" w:rsidRDefault="00975C47" w:rsidP="00975C47">
      <w:pPr>
        <w:spacing w:before="100" w:beforeAutospacing="1" w:after="100" w:afterAutospacing="1" w:line="240" w:lineRule="auto"/>
        <w:rPr>
          <w:rFonts w:ascii="Times" w:hAnsi="Times"/>
          <w:b/>
          <w:sz w:val="32"/>
          <w:szCs w:val="32"/>
          <w:vertAlign w:val="superscript"/>
        </w:rPr>
      </w:pPr>
      <w:r w:rsidRPr="00096F2F">
        <w:rPr>
          <w:rFonts w:ascii="Times" w:hAnsi="Times"/>
          <w:b/>
          <w:sz w:val="32"/>
          <w:szCs w:val="32"/>
        </w:rPr>
        <w:t>Alerte sur un opioïde</w:t>
      </w:r>
      <w:r>
        <w:rPr>
          <w:rFonts w:ascii="Times" w:hAnsi="Times"/>
          <w:b/>
          <w:sz w:val="28"/>
          <w:szCs w:val="28"/>
        </w:rPr>
        <w:t xml:space="preserve"> </w:t>
      </w:r>
      <w:r w:rsidRPr="00096F2F">
        <w:rPr>
          <w:rFonts w:ascii="Times" w:hAnsi="Times"/>
          <w:b/>
          <w:sz w:val="32"/>
          <w:szCs w:val="32"/>
        </w:rPr>
        <w:t>l’oxycodone- 0xycontin</w:t>
      </w:r>
      <w:r w:rsidRPr="00096F2F">
        <w:rPr>
          <w:rFonts w:ascii="Times" w:hAnsi="Times"/>
          <w:b/>
          <w:sz w:val="32"/>
          <w:szCs w:val="32"/>
          <w:vertAlign w:val="superscript"/>
        </w:rPr>
        <w:t>®</w:t>
      </w:r>
      <w:r>
        <w:rPr>
          <w:rFonts w:ascii="Times" w:hAnsi="Times"/>
          <w:b/>
          <w:sz w:val="32"/>
          <w:szCs w:val="32"/>
          <w:vertAlign w:val="superscript"/>
        </w:rPr>
        <w:t xml:space="preserve">               </w:t>
      </w:r>
      <w:r w:rsidRPr="004E2296">
        <w:rPr>
          <w:sz w:val="32"/>
          <w:szCs w:val="32"/>
        </w:rPr>
        <w:t>Pr. Jean Costentin</w:t>
      </w:r>
    </w:p>
    <w:p w:rsidR="00975C47" w:rsidRPr="004E2296" w:rsidRDefault="00975C47" w:rsidP="00975C47">
      <w:pPr>
        <w:spacing w:before="100" w:beforeAutospacing="1" w:after="100" w:afterAutospacing="1"/>
        <w:ind w:firstLine="708"/>
        <w:jc w:val="both"/>
        <w:rPr>
          <w:sz w:val="24"/>
          <w:szCs w:val="24"/>
        </w:rPr>
      </w:pPr>
      <w:r w:rsidRPr="004E2296">
        <w:rPr>
          <w:sz w:val="24"/>
          <w:szCs w:val="24"/>
        </w:rPr>
        <w:t xml:space="preserve">La Société française de pharmacologie et de thérapeutique s’inquiète de la hausse de la consommation de cet antalgique puissant. Sa prescription a été galvaudée aux USA, où une concurrence médicale vive </w:t>
      </w:r>
      <w:proofErr w:type="gramStart"/>
      <w:r w:rsidRPr="004E2296">
        <w:rPr>
          <w:sz w:val="24"/>
          <w:szCs w:val="24"/>
        </w:rPr>
        <w:t>incite</w:t>
      </w:r>
      <w:proofErr w:type="gramEnd"/>
      <w:r w:rsidRPr="004E2296">
        <w:rPr>
          <w:sz w:val="24"/>
          <w:szCs w:val="24"/>
        </w:rPr>
        <w:t xml:space="preserve"> les praticiens à prescrire d’emblée les produits les plus efficaces, à des posologies élevées. L’</w:t>
      </w:r>
      <w:proofErr w:type="spellStart"/>
      <w:r w:rsidRPr="004E2296">
        <w:rPr>
          <w:sz w:val="24"/>
          <w:szCs w:val="24"/>
        </w:rPr>
        <w:t>Oxycontin</w:t>
      </w:r>
      <w:proofErr w:type="spellEnd"/>
      <w:r w:rsidRPr="004E2296">
        <w:rPr>
          <w:sz w:val="24"/>
          <w:szCs w:val="24"/>
          <w:vertAlign w:val="superscript"/>
        </w:rPr>
        <w:t>®</w:t>
      </w:r>
      <w:r w:rsidRPr="004E2296">
        <w:rPr>
          <w:sz w:val="24"/>
          <w:szCs w:val="24"/>
        </w:rPr>
        <w:t xml:space="preserve">, commercialisé en 1996, répondait à cet objectif. On estime qu’il est largement responsable de la </w:t>
      </w:r>
      <w:r w:rsidRPr="004E2296">
        <w:rPr>
          <w:sz w:val="24"/>
          <w:szCs w:val="24"/>
        </w:rPr>
        <w:t>« crise des opioïdes » qui a tué 80.000 américains l’an passé car, rendant dépendants nombre des patients auxquels il était prescrit ils l’ont utilisé à des posologies toxiques (suscitant des « overdoses » avec leur inhibition respiratoire létale) et ils ont été incités à recourir à des opioïdes encore plus puissants (</w:t>
      </w:r>
      <w:proofErr w:type="spellStart"/>
      <w:r w:rsidRPr="004E2296">
        <w:rPr>
          <w:sz w:val="24"/>
          <w:szCs w:val="24"/>
        </w:rPr>
        <w:t>anilinopipéridines</w:t>
      </w:r>
      <w:proofErr w:type="spellEnd"/>
      <w:r w:rsidRPr="004E2296">
        <w:rPr>
          <w:sz w:val="24"/>
          <w:szCs w:val="24"/>
        </w:rPr>
        <w:t xml:space="preserve">, dont le fentanyl, 100 fois plus puissant que la morphine, ou le </w:t>
      </w:r>
      <w:proofErr w:type="spellStart"/>
      <w:r w:rsidRPr="004E2296">
        <w:rPr>
          <w:sz w:val="24"/>
          <w:szCs w:val="24"/>
        </w:rPr>
        <w:t>carfentanil</w:t>
      </w:r>
      <w:proofErr w:type="spellEnd"/>
      <w:r w:rsidRPr="004E2296">
        <w:rPr>
          <w:sz w:val="24"/>
          <w:szCs w:val="24"/>
        </w:rPr>
        <w:t xml:space="preserve"> 1.000 fois plus puissant, qui est acquis en dehors du circuit médical. Les praticiens français, par prudence et non par pusillanimité, prescrivent les opiacés et les opioïdes avec mesure, connaissant la forte propension des français à fondre dans des drogues variées. Pourtant cette prudence paraît commencer à s’émousser puisque la consommation d’oxycodone a augmenté de 740 % en France entre 2006 et 2017. La situation est particulièrement inquiétante dans le Sud-Ouest : en Nouvelle-Aquitaine, en 2021, 900 patients pour 100 000 habitants consommaient de l’oxycodone, contre 735 en 2017, soit une augmentation de 25 %. </w:t>
      </w:r>
    </w:p>
    <w:p w:rsidR="00975C47" w:rsidRPr="004E2296" w:rsidRDefault="00975C47" w:rsidP="00975C47">
      <w:pPr>
        <w:spacing w:before="100" w:beforeAutospacing="1" w:after="100" w:afterAutospacing="1"/>
        <w:ind w:firstLine="708"/>
        <w:jc w:val="both"/>
        <w:rPr>
          <w:rFonts w:eastAsia="Times New Roman"/>
          <w:bCs/>
          <w:sz w:val="24"/>
          <w:szCs w:val="24"/>
        </w:rPr>
      </w:pPr>
      <w:r w:rsidRPr="004E2296">
        <w:rPr>
          <w:rFonts w:eastAsia="Times New Roman"/>
          <w:bCs/>
          <w:sz w:val="24"/>
          <w:szCs w:val="24"/>
        </w:rPr>
        <w:t xml:space="preserve">On a dénombré en 2019, en France, 23 morts par overdose d’oxycodone, c’est très peu comparé aux dizaines de milliers de décès dénombrés aux USA, néanmoins cette croissance est un signal auquel il faut accorder une attention soutenue.               </w:t>
      </w:r>
    </w:p>
    <w:p w:rsidR="00975C47" w:rsidRPr="00191596" w:rsidRDefault="00975C47" w:rsidP="00975C47">
      <w:pPr>
        <w:spacing w:before="100" w:beforeAutospacing="1" w:after="100" w:afterAutospacing="1"/>
        <w:ind w:firstLine="708"/>
        <w:jc w:val="both"/>
        <w:rPr>
          <w:rFonts w:ascii="Cambria" w:hAnsi="Cambria" w:cs="Arial"/>
          <w:b/>
          <w:bCs/>
          <w:sz w:val="32"/>
          <w:szCs w:val="32"/>
        </w:rPr>
      </w:pPr>
      <w:r w:rsidRPr="00191596">
        <w:rPr>
          <w:rFonts w:ascii="Cambria" w:hAnsi="Cambria" w:cs="Arial"/>
          <w:b/>
          <w:bCs/>
          <w:sz w:val="32"/>
          <w:szCs w:val="32"/>
        </w:rPr>
        <w:t>L’</w:t>
      </w:r>
      <w:proofErr w:type="spellStart"/>
      <w:r w:rsidRPr="00191596">
        <w:rPr>
          <w:rFonts w:ascii="Cambria" w:hAnsi="Cambria" w:cs="Arial"/>
          <w:b/>
          <w:bCs/>
          <w:sz w:val="32"/>
          <w:szCs w:val="32"/>
        </w:rPr>
        <w:t>Hexahydrocannabinol</w:t>
      </w:r>
      <w:proofErr w:type="spellEnd"/>
      <w:r w:rsidRPr="00191596">
        <w:rPr>
          <w:rFonts w:ascii="Cambria" w:hAnsi="Cambria" w:cs="Arial"/>
          <w:b/>
          <w:bCs/>
          <w:sz w:val="32"/>
          <w:szCs w:val="32"/>
        </w:rPr>
        <w:t xml:space="preserve"> (HHC), nouvelle drogue active autorisée qui envahit le marché </w:t>
      </w:r>
    </w:p>
    <w:p w:rsidR="00975C47" w:rsidRPr="00191596" w:rsidRDefault="00975C47" w:rsidP="00975C47">
      <w:pPr>
        <w:spacing w:after="0" w:line="240" w:lineRule="auto"/>
        <w:ind w:firstLine="708"/>
        <w:jc w:val="both"/>
        <w:rPr>
          <w:rFonts w:ascii="Cambria" w:hAnsi="Cambria" w:cs="Arial"/>
          <w:b/>
          <w:bCs/>
          <w:i/>
          <w:iCs/>
          <w:sz w:val="28"/>
          <w:szCs w:val="28"/>
        </w:rPr>
      </w:pPr>
      <w:r w:rsidRPr="00191596">
        <w:rPr>
          <w:rFonts w:ascii="Cambria" w:hAnsi="Cambria" w:cs="Arial"/>
          <w:b/>
          <w:bCs/>
          <w:i/>
          <w:iCs/>
          <w:sz w:val="28"/>
          <w:szCs w:val="28"/>
        </w:rPr>
        <w:t xml:space="preserve">    Pr.  Jean-Pierre </w:t>
      </w:r>
      <w:proofErr w:type="spellStart"/>
      <w:r w:rsidRPr="00191596">
        <w:rPr>
          <w:rFonts w:ascii="Cambria" w:hAnsi="Cambria" w:cs="Arial"/>
          <w:b/>
          <w:bCs/>
          <w:i/>
          <w:iCs/>
          <w:sz w:val="28"/>
          <w:szCs w:val="28"/>
        </w:rPr>
        <w:t>Goullé</w:t>
      </w:r>
      <w:proofErr w:type="spellEnd"/>
    </w:p>
    <w:p w:rsidR="00975C47" w:rsidRPr="00191596" w:rsidRDefault="00975C47" w:rsidP="00975C47">
      <w:pPr>
        <w:spacing w:after="0" w:line="240" w:lineRule="auto"/>
        <w:jc w:val="both"/>
        <w:rPr>
          <w:rFonts w:ascii="Cambria" w:hAnsi="Cambria" w:cs="Arial"/>
          <w:sz w:val="20"/>
          <w:szCs w:val="20"/>
        </w:rPr>
      </w:pPr>
    </w:p>
    <w:p w:rsidR="00975C47" w:rsidRPr="00191596" w:rsidRDefault="00975C47" w:rsidP="00975C47">
      <w:pPr>
        <w:spacing w:after="0" w:line="360" w:lineRule="auto"/>
        <w:ind w:firstLine="708"/>
        <w:jc w:val="both"/>
        <w:rPr>
          <w:rFonts w:ascii="Cambria" w:hAnsi="Cambria" w:cs="Arial"/>
          <w:sz w:val="20"/>
          <w:szCs w:val="20"/>
        </w:rPr>
      </w:pPr>
      <w:r w:rsidRPr="00191596">
        <w:rPr>
          <w:rFonts w:ascii="Cambria" w:hAnsi="Cambria" w:cs="Arial"/>
          <w:sz w:val="20"/>
          <w:szCs w:val="20"/>
        </w:rPr>
        <w:t xml:space="preserve">Le HHC appartient à la classe des cannabinoïdes, décrit pour la première fois par Adams en 1940 [1], il ne fait pas partie des 296 cannabinoïdes identifiés dans le végétal. C’est un cannabinoïde de synthèse (CS) obtenu à partir du </w:t>
      </w:r>
      <w:proofErr w:type="spellStart"/>
      <w:r w:rsidRPr="00191596">
        <w:rPr>
          <w:rFonts w:ascii="Cambria" w:hAnsi="Cambria" w:cs="Arial"/>
          <w:sz w:val="20"/>
          <w:szCs w:val="20"/>
        </w:rPr>
        <w:t>cannabidiol</w:t>
      </w:r>
      <w:proofErr w:type="spellEnd"/>
      <w:r w:rsidRPr="00191596">
        <w:rPr>
          <w:rFonts w:ascii="Cambria" w:hAnsi="Cambria" w:cs="Arial"/>
          <w:sz w:val="20"/>
          <w:szCs w:val="20"/>
        </w:rPr>
        <w:t xml:space="preserve"> (CBD). Ne figurant pas sur la liste des produits interdits, il est en vente libre, comme le CBD qui est prétendument non psychoactif. Compte tenu de ses propriétés </w:t>
      </w:r>
      <w:proofErr w:type="spellStart"/>
      <w:r w:rsidRPr="00191596">
        <w:rPr>
          <w:rFonts w:ascii="Cambria" w:hAnsi="Cambria" w:cs="Arial"/>
          <w:sz w:val="20"/>
          <w:szCs w:val="20"/>
        </w:rPr>
        <w:t>cannabimimétiques</w:t>
      </w:r>
      <w:proofErr w:type="spellEnd"/>
      <w:r w:rsidRPr="00191596">
        <w:rPr>
          <w:rFonts w:ascii="Cambria" w:hAnsi="Cambria" w:cs="Arial"/>
          <w:sz w:val="20"/>
          <w:szCs w:val="20"/>
        </w:rPr>
        <w:t xml:space="preserve">, il devrait cependant être rapidement procédé à son interdiction. </w:t>
      </w:r>
    </w:p>
    <w:p w:rsidR="00975C47" w:rsidRPr="00191596" w:rsidRDefault="00975C47" w:rsidP="00975C47">
      <w:pPr>
        <w:spacing w:after="0" w:line="360" w:lineRule="auto"/>
        <w:jc w:val="both"/>
        <w:rPr>
          <w:rFonts w:ascii="Cambria" w:hAnsi="Cambria" w:cs="Arial"/>
          <w:b/>
          <w:bCs/>
          <w:sz w:val="20"/>
          <w:szCs w:val="20"/>
        </w:rPr>
      </w:pPr>
      <w:r w:rsidRPr="00191596">
        <w:rPr>
          <w:rFonts w:ascii="Cambria" w:hAnsi="Cambria" w:cs="Arial"/>
          <w:b/>
          <w:bCs/>
          <w:sz w:val="20"/>
          <w:szCs w:val="20"/>
        </w:rPr>
        <w:lastRenderedPageBreak/>
        <w:t>Obtention par synthèse à partir du CBD</w:t>
      </w:r>
    </w:p>
    <w:p w:rsidR="00975C47" w:rsidRPr="00191596" w:rsidRDefault="00975C47" w:rsidP="00975C47">
      <w:pPr>
        <w:spacing w:after="0" w:line="360" w:lineRule="auto"/>
        <w:ind w:firstLine="708"/>
        <w:jc w:val="both"/>
        <w:rPr>
          <w:rFonts w:ascii="Cambria" w:hAnsi="Cambria" w:cs="Arial"/>
          <w:sz w:val="20"/>
          <w:szCs w:val="20"/>
        </w:rPr>
      </w:pPr>
      <w:r w:rsidRPr="00191596">
        <w:rPr>
          <w:rFonts w:ascii="Cambria" w:hAnsi="Cambria" w:cs="Arial"/>
          <w:sz w:val="20"/>
          <w:szCs w:val="20"/>
        </w:rPr>
        <w:t xml:space="preserve">La première étape consiste à cultiver du cannabis présentant une faible teneur en tétrahydrocannabinol (THC) et une forte </w:t>
      </w:r>
      <w:r w:rsidRPr="00DB5673">
        <w:rPr>
          <w:rFonts w:ascii="Cambria" w:hAnsi="Cambria" w:cs="Arial"/>
          <w:sz w:val="20"/>
          <w:szCs w:val="20"/>
        </w:rPr>
        <w:t>concentration</w:t>
      </w:r>
      <w:r>
        <w:rPr>
          <w:rFonts w:ascii="Cambria" w:hAnsi="Cambria" w:cs="Arial"/>
          <w:sz w:val="20"/>
          <w:szCs w:val="20"/>
        </w:rPr>
        <w:t xml:space="preserve"> </w:t>
      </w:r>
      <w:r w:rsidRPr="00191596">
        <w:rPr>
          <w:rFonts w:ascii="Cambria" w:hAnsi="Cambria" w:cs="Arial"/>
          <w:sz w:val="20"/>
          <w:szCs w:val="20"/>
        </w:rPr>
        <w:t xml:space="preserve">en </w:t>
      </w:r>
      <w:proofErr w:type="spellStart"/>
      <w:r w:rsidRPr="00191596">
        <w:rPr>
          <w:rFonts w:ascii="Cambria" w:hAnsi="Cambria" w:cs="Arial"/>
          <w:sz w:val="20"/>
          <w:szCs w:val="20"/>
        </w:rPr>
        <w:t>cannabidiol</w:t>
      </w:r>
      <w:proofErr w:type="spellEnd"/>
      <w:r w:rsidRPr="00191596">
        <w:rPr>
          <w:rFonts w:ascii="Cambria" w:hAnsi="Cambria" w:cs="Arial"/>
          <w:sz w:val="20"/>
          <w:szCs w:val="20"/>
        </w:rPr>
        <w:t xml:space="preserve"> (CBD). Le CBD extrait du végétal est ensuite modifié chimiquement en deux étapes qui conduisent au HHC.</w:t>
      </w:r>
    </w:p>
    <w:p w:rsidR="00975C47" w:rsidRPr="00191596" w:rsidRDefault="00975C47" w:rsidP="00975C47">
      <w:pPr>
        <w:spacing w:after="0" w:line="360" w:lineRule="auto"/>
        <w:jc w:val="both"/>
        <w:rPr>
          <w:rFonts w:ascii="Cambria" w:hAnsi="Cambria" w:cs="Arial"/>
          <w:b/>
          <w:bCs/>
          <w:sz w:val="20"/>
          <w:szCs w:val="20"/>
        </w:rPr>
      </w:pPr>
      <w:r w:rsidRPr="00191596">
        <w:rPr>
          <w:rFonts w:ascii="Cambria" w:hAnsi="Cambria" w:cs="Arial"/>
          <w:b/>
          <w:bCs/>
          <w:sz w:val="20"/>
          <w:szCs w:val="20"/>
        </w:rPr>
        <w:t>Les formes présentes sur le marché</w:t>
      </w:r>
    </w:p>
    <w:p w:rsidR="00975C47" w:rsidRPr="00191596" w:rsidRDefault="00975C47" w:rsidP="00975C47">
      <w:pPr>
        <w:spacing w:after="0" w:line="360" w:lineRule="auto"/>
        <w:ind w:firstLine="708"/>
        <w:jc w:val="both"/>
        <w:rPr>
          <w:rFonts w:ascii="Cambria" w:hAnsi="Cambria" w:cs="Arial"/>
          <w:sz w:val="20"/>
          <w:szCs w:val="20"/>
        </w:rPr>
      </w:pPr>
      <w:r w:rsidRPr="00191596">
        <w:rPr>
          <w:rFonts w:ascii="Cambria" w:hAnsi="Cambria" w:cs="Arial"/>
          <w:sz w:val="20"/>
          <w:szCs w:val="20"/>
        </w:rPr>
        <w:t xml:space="preserve">Le HHC est apparu sur le marché des États-Unis fin 2021. Ne faisant l’objet d’aucune interdiction, </w:t>
      </w:r>
      <w:proofErr w:type="spellStart"/>
      <w:r w:rsidRPr="00191596">
        <w:rPr>
          <w:rFonts w:ascii="Cambria" w:hAnsi="Cambria" w:cs="Arial"/>
          <w:sz w:val="20"/>
          <w:szCs w:val="20"/>
        </w:rPr>
        <w:t>iI</w:t>
      </w:r>
      <w:proofErr w:type="spellEnd"/>
      <w:r w:rsidRPr="00191596">
        <w:rPr>
          <w:rFonts w:ascii="Cambria" w:hAnsi="Cambria" w:cs="Arial"/>
          <w:sz w:val="20"/>
          <w:szCs w:val="20"/>
        </w:rPr>
        <w:t xml:space="preserve"> est arrivé rapidement en Europe en mai 2022 et sa diffusion a été généralisée dans 20 pays de l’UE, dont la France fin mars 2023. Il est disponible dans des produits aux dessins attrayants et aux couleurs vives. Le HHC est pulvérisé sur des fleurs de cannabis ou sur de la résine à faible teneur en THC, il est présent dans des recharges pour cigarette électronique, mais également dans des produits alimentaires, ou dans des sucreries aromatisées (bonbons gélifiés et guimauves), des compléments alimentaires, ou des huiles. L’imagination des chimistes n’a pas de limite, deux </w:t>
      </w:r>
      <w:r w:rsidRPr="00DB5673">
        <w:rPr>
          <w:rFonts w:ascii="Cambria" w:hAnsi="Cambria" w:cs="Arial"/>
          <w:sz w:val="20"/>
          <w:szCs w:val="20"/>
        </w:rPr>
        <w:t xml:space="preserve">nouveaux </w:t>
      </w:r>
      <w:r>
        <w:rPr>
          <w:rFonts w:ascii="Cambria" w:hAnsi="Cambria" w:cs="Arial"/>
          <w:sz w:val="20"/>
          <w:szCs w:val="20"/>
        </w:rPr>
        <w:t>d</w:t>
      </w:r>
      <w:r w:rsidRPr="00DB5673">
        <w:rPr>
          <w:rFonts w:ascii="Cambria" w:hAnsi="Cambria" w:cs="Arial"/>
          <w:sz w:val="20"/>
          <w:szCs w:val="20"/>
        </w:rPr>
        <w:t>érivés</w:t>
      </w:r>
      <w:r w:rsidRPr="00191596">
        <w:rPr>
          <w:rFonts w:ascii="Cambria" w:hAnsi="Cambria" w:cs="Arial"/>
          <w:sz w:val="20"/>
          <w:szCs w:val="20"/>
        </w:rPr>
        <w:t xml:space="preserve"> du HHC ont déjà été identifiés sur le marché européen : le HHC acétate et le HHC </w:t>
      </w:r>
      <w:proofErr w:type="spellStart"/>
      <w:r w:rsidRPr="00191596">
        <w:rPr>
          <w:rFonts w:ascii="Cambria" w:hAnsi="Cambria" w:cs="Arial"/>
          <w:sz w:val="20"/>
          <w:szCs w:val="20"/>
        </w:rPr>
        <w:t>biphorol</w:t>
      </w:r>
      <w:proofErr w:type="spellEnd"/>
      <w:r w:rsidRPr="00191596">
        <w:rPr>
          <w:rFonts w:ascii="Cambria" w:hAnsi="Cambria" w:cs="Arial"/>
          <w:sz w:val="20"/>
          <w:szCs w:val="20"/>
        </w:rPr>
        <w:t>.</w:t>
      </w:r>
    </w:p>
    <w:p w:rsidR="00975C47" w:rsidRPr="00191596" w:rsidRDefault="00975C47" w:rsidP="00975C47">
      <w:pPr>
        <w:spacing w:after="0" w:line="360" w:lineRule="auto"/>
        <w:jc w:val="both"/>
        <w:rPr>
          <w:rFonts w:ascii="Cambria" w:hAnsi="Cambria" w:cs="Arial"/>
          <w:b/>
          <w:bCs/>
          <w:sz w:val="20"/>
          <w:szCs w:val="20"/>
        </w:rPr>
      </w:pPr>
    </w:p>
    <w:p w:rsidR="00975C47" w:rsidRPr="00191596" w:rsidRDefault="00975C47" w:rsidP="00975C47">
      <w:pPr>
        <w:spacing w:after="0" w:line="360" w:lineRule="auto"/>
        <w:jc w:val="both"/>
        <w:rPr>
          <w:rFonts w:ascii="Cambria" w:hAnsi="Cambria" w:cs="Arial"/>
          <w:b/>
          <w:bCs/>
          <w:sz w:val="20"/>
          <w:szCs w:val="20"/>
        </w:rPr>
      </w:pPr>
      <w:r w:rsidRPr="00191596">
        <w:rPr>
          <w:rFonts w:ascii="Cambria" w:hAnsi="Cambria" w:cs="Arial"/>
          <w:b/>
          <w:bCs/>
          <w:sz w:val="20"/>
          <w:szCs w:val="20"/>
        </w:rPr>
        <w:t>Structure et caractéristiques</w:t>
      </w:r>
    </w:p>
    <w:p w:rsidR="00975C47" w:rsidRPr="00191596" w:rsidRDefault="00975C47" w:rsidP="00975C47">
      <w:pPr>
        <w:spacing w:after="0" w:line="360" w:lineRule="auto"/>
        <w:ind w:firstLine="708"/>
        <w:jc w:val="both"/>
        <w:rPr>
          <w:rFonts w:ascii="Cambria" w:hAnsi="Cambria" w:cs="Arial"/>
          <w:sz w:val="20"/>
          <w:szCs w:val="20"/>
        </w:rPr>
      </w:pPr>
      <w:r w:rsidRPr="00191596">
        <w:rPr>
          <w:rFonts w:ascii="Cambria" w:hAnsi="Cambria" w:cs="Arial"/>
          <w:sz w:val="20"/>
          <w:szCs w:val="20"/>
        </w:rPr>
        <w:t xml:space="preserve">La structure chimique spatiale du HHC est totalement superposable à celle du delta-9-THC, avec pour seule différence deux atomes d’hydrogène en plus que ce dernier. Son </w:t>
      </w:r>
      <w:proofErr w:type="spellStart"/>
      <w:r w:rsidRPr="00191596">
        <w:rPr>
          <w:rFonts w:ascii="Cambria" w:hAnsi="Cambria" w:cs="Arial"/>
          <w:sz w:val="20"/>
          <w:szCs w:val="20"/>
        </w:rPr>
        <w:t>logP</w:t>
      </w:r>
      <w:proofErr w:type="spellEnd"/>
      <w:r w:rsidRPr="00191596">
        <w:rPr>
          <w:rFonts w:ascii="Cambria" w:hAnsi="Cambria" w:cs="Arial"/>
          <w:sz w:val="20"/>
          <w:szCs w:val="20"/>
        </w:rPr>
        <w:t xml:space="preserve"> à 7,93 caractérise sa très grande liposolubilité, voisine de celle du THC dont le </w:t>
      </w:r>
      <w:proofErr w:type="spellStart"/>
      <w:r w:rsidRPr="00191596">
        <w:rPr>
          <w:rFonts w:ascii="Cambria" w:hAnsi="Cambria" w:cs="Arial"/>
          <w:sz w:val="20"/>
          <w:szCs w:val="20"/>
        </w:rPr>
        <w:t>logP</w:t>
      </w:r>
      <w:proofErr w:type="spellEnd"/>
      <w:r w:rsidRPr="00191596">
        <w:rPr>
          <w:rFonts w:ascii="Cambria" w:hAnsi="Cambria" w:cs="Arial"/>
          <w:sz w:val="20"/>
          <w:szCs w:val="20"/>
        </w:rPr>
        <w:t xml:space="preserve"> est presque aussi élevé (7,68</w:t>
      </w:r>
      <w:proofErr w:type="gramStart"/>
      <w:r w:rsidRPr="00191596">
        <w:rPr>
          <w:rFonts w:ascii="Cambria" w:hAnsi="Cambria" w:cs="Arial"/>
          <w:sz w:val="20"/>
          <w:szCs w:val="20"/>
        </w:rPr>
        <w:t>) .</w:t>
      </w:r>
      <w:proofErr w:type="gramEnd"/>
      <w:r w:rsidRPr="00191596">
        <w:rPr>
          <w:rFonts w:ascii="Cambria" w:hAnsi="Cambria" w:cs="Arial"/>
          <w:sz w:val="20"/>
          <w:szCs w:val="20"/>
        </w:rPr>
        <w:t xml:space="preserve"> Tout comme ce dernier, il devrait se fixer/concentrer avec une grande affinité dans les graisses. </w:t>
      </w:r>
    </w:p>
    <w:p w:rsidR="00975C47" w:rsidRPr="00191596" w:rsidRDefault="00975C47" w:rsidP="00975C47">
      <w:pPr>
        <w:spacing w:after="0" w:line="360" w:lineRule="auto"/>
        <w:jc w:val="both"/>
        <w:rPr>
          <w:rFonts w:ascii="Cambria" w:hAnsi="Cambria" w:cs="Arial"/>
          <w:b/>
          <w:bCs/>
          <w:sz w:val="20"/>
          <w:szCs w:val="20"/>
        </w:rPr>
      </w:pPr>
      <w:r w:rsidRPr="00191596">
        <w:rPr>
          <w:rFonts w:ascii="Cambria" w:hAnsi="Cambria" w:cs="Arial"/>
          <w:b/>
          <w:bCs/>
          <w:sz w:val="20"/>
          <w:szCs w:val="20"/>
        </w:rPr>
        <w:t>Mode d’action</w:t>
      </w:r>
    </w:p>
    <w:p w:rsidR="00975C47" w:rsidRPr="00191596" w:rsidRDefault="00975C47" w:rsidP="00975C47">
      <w:pPr>
        <w:spacing w:after="0" w:line="360" w:lineRule="auto"/>
        <w:ind w:firstLine="708"/>
        <w:jc w:val="both"/>
        <w:rPr>
          <w:rFonts w:ascii="Cambria" w:hAnsi="Cambria" w:cs="Arial"/>
          <w:sz w:val="20"/>
          <w:szCs w:val="20"/>
        </w:rPr>
      </w:pPr>
      <w:r w:rsidRPr="00191596">
        <w:rPr>
          <w:rFonts w:ascii="Cambria" w:hAnsi="Cambria" w:cs="Arial"/>
          <w:sz w:val="20"/>
          <w:szCs w:val="20"/>
        </w:rPr>
        <w:t xml:space="preserve">Sa structure spatiale calquée sur celle du THC devrait être à l’origine d’effets assez similaires. L’emploi de modèles </w:t>
      </w:r>
      <w:r w:rsidRPr="00191596">
        <w:rPr>
          <w:rFonts w:ascii="Cambria" w:hAnsi="Cambria" w:cs="Arial"/>
          <w:i/>
          <w:iCs/>
          <w:sz w:val="20"/>
          <w:szCs w:val="20"/>
        </w:rPr>
        <w:t>in silico</w:t>
      </w:r>
      <w:r w:rsidRPr="00191596">
        <w:rPr>
          <w:rFonts w:ascii="Cambria" w:hAnsi="Cambria" w:cs="Arial"/>
          <w:sz w:val="20"/>
          <w:szCs w:val="20"/>
        </w:rPr>
        <w:t xml:space="preserve"> indique que pour le récepteur CB</w:t>
      </w:r>
      <w:r w:rsidRPr="00191596">
        <w:rPr>
          <w:rFonts w:ascii="Cambria" w:hAnsi="Cambria" w:cs="Arial"/>
          <w:sz w:val="20"/>
          <w:szCs w:val="20"/>
          <w:vertAlign w:val="subscript"/>
        </w:rPr>
        <w:t>1</w:t>
      </w:r>
      <w:r w:rsidRPr="00191596">
        <w:rPr>
          <w:rFonts w:ascii="Cambria" w:hAnsi="Cambria" w:cs="Arial"/>
          <w:sz w:val="20"/>
          <w:szCs w:val="20"/>
        </w:rPr>
        <w:t>, le HHC et le delta-9-THC présentent des affinités de liaison élevées et similaires, tandis que le delta-8-THC se lie à ce récepteur avec une affinité plus faible, alors que l’affinité des trois drogues est identique pour le récepteur CB</w:t>
      </w:r>
      <w:r w:rsidRPr="00191596">
        <w:rPr>
          <w:rFonts w:ascii="Cambria" w:hAnsi="Cambria" w:cs="Arial"/>
          <w:sz w:val="20"/>
          <w:szCs w:val="20"/>
          <w:vertAlign w:val="subscript"/>
        </w:rPr>
        <w:t>2</w:t>
      </w:r>
      <w:r w:rsidRPr="00191596">
        <w:rPr>
          <w:rFonts w:ascii="Cambria" w:hAnsi="Cambria" w:cs="Arial"/>
          <w:sz w:val="20"/>
          <w:szCs w:val="20"/>
        </w:rPr>
        <w:t>.</w:t>
      </w:r>
    </w:p>
    <w:p w:rsidR="00975C47" w:rsidRPr="00191596" w:rsidRDefault="00975C47" w:rsidP="00975C47">
      <w:pPr>
        <w:spacing w:after="0" w:line="360" w:lineRule="auto"/>
        <w:jc w:val="both"/>
        <w:rPr>
          <w:rFonts w:ascii="Cambria" w:hAnsi="Cambria" w:cs="Arial"/>
          <w:b/>
          <w:bCs/>
          <w:sz w:val="20"/>
          <w:szCs w:val="20"/>
        </w:rPr>
      </w:pPr>
      <w:r w:rsidRPr="00191596">
        <w:rPr>
          <w:rFonts w:ascii="Cambria" w:hAnsi="Cambria" w:cs="Arial"/>
          <w:b/>
          <w:bCs/>
          <w:sz w:val="20"/>
          <w:szCs w:val="20"/>
        </w:rPr>
        <w:t xml:space="preserve">Pharmacologie et toxicologie </w:t>
      </w:r>
    </w:p>
    <w:p w:rsidR="00975C47" w:rsidRPr="00191596" w:rsidRDefault="00975C47" w:rsidP="00975C47">
      <w:pPr>
        <w:spacing w:after="0" w:line="360" w:lineRule="auto"/>
        <w:ind w:firstLine="708"/>
        <w:jc w:val="both"/>
        <w:rPr>
          <w:rFonts w:ascii="Cambria" w:hAnsi="Cambria" w:cs="Arial"/>
          <w:sz w:val="20"/>
          <w:szCs w:val="20"/>
        </w:rPr>
      </w:pPr>
      <w:r w:rsidRPr="00191596">
        <w:rPr>
          <w:rFonts w:ascii="Cambria" w:hAnsi="Cambria" w:cs="Arial"/>
          <w:sz w:val="20"/>
          <w:szCs w:val="20"/>
        </w:rPr>
        <w:t xml:space="preserve">Bien que le HHC </w:t>
      </w:r>
      <w:r w:rsidRPr="00DB5673">
        <w:rPr>
          <w:rFonts w:ascii="Cambria" w:hAnsi="Cambria" w:cs="Arial"/>
          <w:sz w:val="20"/>
          <w:szCs w:val="20"/>
        </w:rPr>
        <w:t>soit dentifié</w:t>
      </w:r>
      <w:r>
        <w:rPr>
          <w:rFonts w:ascii="Cambria" w:hAnsi="Cambria" w:cs="Arial"/>
          <w:sz w:val="20"/>
          <w:szCs w:val="20"/>
        </w:rPr>
        <w:t xml:space="preserve"> </w:t>
      </w:r>
      <w:r w:rsidRPr="00191596">
        <w:rPr>
          <w:rFonts w:ascii="Cambria" w:hAnsi="Cambria" w:cs="Arial"/>
          <w:sz w:val="20"/>
          <w:szCs w:val="20"/>
        </w:rPr>
        <w:t xml:space="preserve">depuis plus de 80 ans, sa pharmacologie et sa toxicologie sont inconnues chez l’Homme. Selon des études conduites </w:t>
      </w:r>
      <w:r w:rsidRPr="00191596">
        <w:rPr>
          <w:rFonts w:ascii="Cambria" w:hAnsi="Cambria" w:cs="Arial"/>
          <w:i/>
          <w:iCs/>
          <w:sz w:val="20"/>
          <w:szCs w:val="20"/>
        </w:rPr>
        <w:t>in vitro</w:t>
      </w:r>
      <w:r w:rsidRPr="00191596">
        <w:rPr>
          <w:rFonts w:ascii="Cambria" w:hAnsi="Cambria" w:cs="Arial"/>
          <w:sz w:val="20"/>
          <w:szCs w:val="20"/>
        </w:rPr>
        <w:t xml:space="preserve"> mais aussi </w:t>
      </w:r>
      <w:r w:rsidRPr="00191596">
        <w:rPr>
          <w:rFonts w:ascii="Cambria" w:hAnsi="Cambria" w:cs="Arial"/>
          <w:i/>
          <w:iCs/>
          <w:sz w:val="20"/>
          <w:szCs w:val="20"/>
        </w:rPr>
        <w:t>in vivo</w:t>
      </w:r>
      <w:r w:rsidRPr="00191596">
        <w:rPr>
          <w:rFonts w:ascii="Cambria" w:hAnsi="Cambria" w:cs="Arial"/>
          <w:sz w:val="20"/>
          <w:szCs w:val="20"/>
        </w:rPr>
        <w:t xml:space="preserve"> chez l’animal, le HHC et en particulier son isomère 9bêta, révèlent de puissants effets </w:t>
      </w:r>
      <w:proofErr w:type="spellStart"/>
      <w:r w:rsidRPr="00191596">
        <w:rPr>
          <w:rFonts w:ascii="Cambria" w:hAnsi="Cambria" w:cs="Arial"/>
          <w:sz w:val="20"/>
          <w:szCs w:val="20"/>
        </w:rPr>
        <w:t>cannabimimétiques</w:t>
      </w:r>
      <w:proofErr w:type="spellEnd"/>
      <w:r w:rsidRPr="00191596">
        <w:rPr>
          <w:rFonts w:ascii="Cambria" w:hAnsi="Cambria" w:cs="Arial"/>
          <w:sz w:val="20"/>
          <w:szCs w:val="20"/>
        </w:rPr>
        <w:t>, par action sur les mêmes récepteurs CB</w:t>
      </w:r>
      <w:r w:rsidRPr="00191596">
        <w:rPr>
          <w:rFonts w:ascii="Cambria" w:hAnsi="Cambria" w:cs="Arial"/>
          <w:sz w:val="20"/>
          <w:szCs w:val="20"/>
          <w:vertAlign w:val="subscript"/>
        </w:rPr>
        <w:t>1</w:t>
      </w:r>
      <w:r w:rsidRPr="00191596">
        <w:rPr>
          <w:rFonts w:ascii="Cambria" w:hAnsi="Cambria" w:cs="Arial"/>
          <w:sz w:val="20"/>
          <w:szCs w:val="20"/>
        </w:rPr>
        <w:t xml:space="preserve"> et CB</w:t>
      </w:r>
      <w:r w:rsidRPr="00191596">
        <w:rPr>
          <w:rFonts w:ascii="Cambria" w:hAnsi="Cambria" w:cs="Arial"/>
          <w:sz w:val="20"/>
          <w:szCs w:val="20"/>
          <w:vertAlign w:val="subscript"/>
        </w:rPr>
        <w:t>2</w:t>
      </w:r>
      <w:r w:rsidRPr="00191596">
        <w:rPr>
          <w:rFonts w:ascii="Cambria" w:hAnsi="Cambria" w:cs="Arial"/>
          <w:sz w:val="20"/>
          <w:szCs w:val="20"/>
        </w:rPr>
        <w:t xml:space="preserve"> que le THC. Ainsi, chez le Singe, l’activité pharmacologique du 9bêta-HHC a montré une activité équivalente à celle du delta-8-THC et une activité réduite de 50% par rapport à celle du delta-9-THC. Une dose de 1 mg/kg de 9bêta-HHC injectée à l’animal a provoqué une stupeur et une ataxie sévères, un ptosis palpébral complet, une immobilité, une posture accroupie durant plus de trois heures ainsi qu’une absence de réaction aux stimuli externes. Alors que l’on ne dispose pas d’étude pharmacocinétique chez l’Homme, notons que chez le Rat et chez le Pigeon, le métabolite hydroxylé 11OH-HHC s’est révélé plus actif que le delta-9-THC. Il pourrait de ce fait exercer un effet pharmacologique plus durable que le THC. En résumé, bien que le HHC n'ait pas été étudié chez l’Homme, il semble que les effets </w:t>
      </w:r>
      <w:proofErr w:type="spellStart"/>
      <w:r w:rsidRPr="00191596">
        <w:rPr>
          <w:rFonts w:ascii="Cambria" w:hAnsi="Cambria" w:cs="Arial"/>
          <w:sz w:val="20"/>
          <w:szCs w:val="20"/>
        </w:rPr>
        <w:t>cannabimimétiques</w:t>
      </w:r>
      <w:proofErr w:type="spellEnd"/>
      <w:r w:rsidRPr="00191596">
        <w:rPr>
          <w:rFonts w:ascii="Cambria" w:hAnsi="Cambria" w:cs="Arial"/>
          <w:sz w:val="20"/>
          <w:szCs w:val="20"/>
        </w:rPr>
        <w:t xml:space="preserve"> de son épimère 9bêta soient qualitativement et quantitativement assez similaires à ceux du delta-9-THC, avec pour les consommateurs tous les risques liés à son usage. </w:t>
      </w:r>
    </w:p>
    <w:p w:rsidR="00975C47" w:rsidRPr="00F12F82" w:rsidRDefault="00975C47" w:rsidP="00975C47">
      <w:pPr>
        <w:spacing w:after="0" w:line="360" w:lineRule="auto"/>
        <w:jc w:val="both"/>
        <w:rPr>
          <w:rFonts w:ascii="Cambria" w:hAnsi="Cambria" w:cs="Arial"/>
          <w:i/>
          <w:iCs/>
          <w:sz w:val="20"/>
          <w:szCs w:val="20"/>
          <w:lang w:val="en-GB"/>
        </w:rPr>
      </w:pPr>
      <w:r w:rsidRPr="00F12F82">
        <w:rPr>
          <w:rFonts w:ascii="Cambria" w:hAnsi="Cambria" w:cs="Arial"/>
          <w:i/>
          <w:iCs/>
          <w:sz w:val="20"/>
          <w:szCs w:val="20"/>
          <w:lang w:val="en-GB"/>
        </w:rPr>
        <w:t xml:space="preserve">[1] Technical report – </w:t>
      </w:r>
      <w:proofErr w:type="spellStart"/>
      <w:r w:rsidRPr="00F12F82">
        <w:rPr>
          <w:rFonts w:ascii="Cambria" w:hAnsi="Cambria" w:cs="Arial"/>
          <w:i/>
          <w:iCs/>
          <w:sz w:val="20"/>
          <w:szCs w:val="20"/>
          <w:lang w:val="en-GB"/>
        </w:rPr>
        <w:t>Hexahydrocannabinol</w:t>
      </w:r>
      <w:proofErr w:type="spellEnd"/>
      <w:r w:rsidRPr="00F12F82">
        <w:rPr>
          <w:rFonts w:ascii="Cambria" w:hAnsi="Cambria" w:cs="Arial"/>
          <w:i/>
          <w:iCs/>
          <w:sz w:val="20"/>
          <w:szCs w:val="20"/>
          <w:lang w:val="en-GB"/>
        </w:rPr>
        <w:t xml:space="preserve"> (HHC) and related substances – European monitoring centre for drugs and drug addiction – Lisbon, April 2023, pp108.</w:t>
      </w:r>
      <w:r w:rsidRPr="00F12F82">
        <w:rPr>
          <w:rFonts w:ascii="Cambria" w:hAnsi="Cambria" w:cs="Arial"/>
          <w:sz w:val="20"/>
          <w:szCs w:val="20"/>
          <w:lang w:val="en-GB"/>
        </w:rPr>
        <w:t xml:space="preserve"> </w:t>
      </w:r>
      <w:proofErr w:type="spellStart"/>
      <w:r w:rsidRPr="00F12F82">
        <w:rPr>
          <w:rFonts w:ascii="Cambria" w:hAnsi="Cambria" w:cs="Arial"/>
          <w:i/>
          <w:iCs/>
          <w:sz w:val="20"/>
          <w:szCs w:val="20"/>
          <w:lang w:val="en-GB"/>
        </w:rPr>
        <w:t>doi</w:t>
      </w:r>
      <w:proofErr w:type="spellEnd"/>
      <w:r w:rsidRPr="00F12F82">
        <w:rPr>
          <w:rFonts w:ascii="Cambria" w:hAnsi="Cambria" w:cs="Arial"/>
          <w:i/>
          <w:iCs/>
          <w:sz w:val="20"/>
          <w:szCs w:val="20"/>
          <w:lang w:val="en-GB"/>
        </w:rPr>
        <w:t>:</w:t>
      </w:r>
      <w:r w:rsidRPr="00191596">
        <w:rPr>
          <w:rFonts w:cs="Calibri"/>
          <w:i/>
          <w:iCs/>
          <w:sz w:val="20"/>
          <w:szCs w:val="20"/>
        </w:rPr>
        <w:t>﻿</w:t>
      </w:r>
      <w:r w:rsidRPr="00F12F82">
        <w:rPr>
          <w:rFonts w:ascii="Cambria" w:hAnsi="Cambria" w:cs="Arial"/>
          <w:i/>
          <w:iCs/>
          <w:sz w:val="20"/>
          <w:szCs w:val="20"/>
          <w:lang w:val="en-GB"/>
        </w:rPr>
        <w:t xml:space="preserve"> 10.2810/852912.</w:t>
      </w:r>
    </w:p>
    <w:p w:rsidR="00975C47" w:rsidRDefault="00975C47" w:rsidP="00975C47">
      <w:pPr>
        <w:spacing w:after="0" w:line="240" w:lineRule="auto"/>
        <w:jc w:val="both"/>
        <w:rPr>
          <w:rFonts w:ascii="Cambria" w:hAnsi="Cambria" w:cs="Arial"/>
          <w:b/>
          <w:i/>
          <w:iCs/>
          <w:sz w:val="28"/>
          <w:szCs w:val="28"/>
        </w:rPr>
      </w:pPr>
      <w:r w:rsidRPr="002E3CE7">
        <w:rPr>
          <w:rFonts w:ascii="Cambria" w:hAnsi="Cambria" w:cs="Arial"/>
          <w:b/>
          <w:i/>
          <w:iCs/>
          <w:sz w:val="28"/>
          <w:szCs w:val="28"/>
        </w:rPr>
        <w:t xml:space="preserve">N.B. : en date </w:t>
      </w:r>
      <w:r w:rsidRPr="00854FF4">
        <w:rPr>
          <w:rFonts w:ascii="Cambria" w:hAnsi="Cambria" w:cs="Arial"/>
          <w:b/>
          <w:i/>
          <w:iCs/>
          <w:sz w:val="28"/>
          <w:szCs w:val="28"/>
        </w:rPr>
        <w:t>du 14 juin</w:t>
      </w:r>
      <w:r w:rsidRPr="002E3CE7">
        <w:rPr>
          <w:rFonts w:ascii="Cambria" w:hAnsi="Cambria" w:cs="Arial"/>
          <w:b/>
          <w:i/>
          <w:iCs/>
          <w:sz w:val="28"/>
          <w:szCs w:val="28"/>
        </w:rPr>
        <w:t xml:space="preserve"> 2023 le ministère de la Santé vient d’interdire la vente de l’HHC.</w:t>
      </w:r>
    </w:p>
    <w:p w:rsidR="00975C47" w:rsidRDefault="00975C47" w:rsidP="00975C47">
      <w:pPr>
        <w:spacing w:after="0" w:line="240" w:lineRule="auto"/>
        <w:jc w:val="both"/>
        <w:rPr>
          <w:rFonts w:ascii="Cambria" w:hAnsi="Cambria" w:cs="Arial"/>
          <w:b/>
          <w:i/>
          <w:iCs/>
          <w:sz w:val="28"/>
          <w:szCs w:val="28"/>
        </w:rPr>
      </w:pPr>
    </w:p>
    <w:p w:rsidR="00975C47" w:rsidRDefault="00975C47" w:rsidP="00975C47">
      <w:pPr>
        <w:spacing w:after="0" w:line="240" w:lineRule="auto"/>
        <w:jc w:val="both"/>
        <w:rPr>
          <w:rFonts w:ascii="Cambria" w:hAnsi="Cambria" w:cs="Arial"/>
          <w:b/>
          <w:i/>
          <w:iCs/>
          <w:sz w:val="28"/>
          <w:szCs w:val="28"/>
        </w:rPr>
      </w:pPr>
    </w:p>
    <w:p w:rsidR="00975C47" w:rsidRPr="002E3CE7" w:rsidRDefault="00975C47" w:rsidP="00975C47">
      <w:pPr>
        <w:spacing w:after="0" w:line="360" w:lineRule="auto"/>
        <w:jc w:val="both"/>
        <w:rPr>
          <w:rFonts w:ascii="Cambria" w:hAnsi="Cambria" w:cs="Arial"/>
          <w:b/>
          <w:i/>
          <w:iCs/>
          <w:sz w:val="28"/>
          <w:szCs w:val="28"/>
        </w:rPr>
      </w:pPr>
    </w:p>
    <w:p w:rsidR="00975C47" w:rsidRDefault="00975C47" w:rsidP="00975C47">
      <w:pPr>
        <w:rPr>
          <w:b/>
          <w:bCs/>
          <w:sz w:val="32"/>
          <w:szCs w:val="32"/>
        </w:rPr>
      </w:pPr>
    </w:p>
    <w:p w:rsidR="00975C47" w:rsidRDefault="00975C47" w:rsidP="00975C47">
      <w:pPr>
        <w:rPr>
          <w:b/>
          <w:bCs/>
          <w:sz w:val="32"/>
          <w:szCs w:val="32"/>
        </w:rPr>
      </w:pPr>
    </w:p>
    <w:p w:rsidR="00975C47" w:rsidRDefault="00975C47" w:rsidP="00975C47">
      <w:pPr>
        <w:rPr>
          <w:b/>
          <w:bCs/>
          <w:sz w:val="32"/>
          <w:szCs w:val="32"/>
        </w:rPr>
      </w:pPr>
    </w:p>
    <w:p w:rsidR="00975C47" w:rsidRDefault="00975C47" w:rsidP="00975C47">
      <w:pPr>
        <w:rPr>
          <w:b/>
          <w:bCs/>
          <w:sz w:val="32"/>
          <w:szCs w:val="32"/>
        </w:rPr>
      </w:pPr>
    </w:p>
    <w:p w:rsidR="00975C47" w:rsidRDefault="00975C47" w:rsidP="00975C47">
      <w:pPr>
        <w:rPr>
          <w:b/>
          <w:bCs/>
          <w:sz w:val="32"/>
          <w:szCs w:val="32"/>
        </w:rPr>
      </w:pPr>
      <w:r>
        <w:rPr>
          <w:b/>
          <w:bCs/>
          <w:sz w:val="32"/>
          <w:szCs w:val="32"/>
        </w:rPr>
        <w:lastRenderedPageBreak/>
        <w:t>L</w:t>
      </w:r>
      <w:r w:rsidRPr="007644F7">
        <w:rPr>
          <w:b/>
          <w:bCs/>
          <w:sz w:val="32"/>
          <w:szCs w:val="32"/>
        </w:rPr>
        <w:t>e cannabis ne rend pas</w:t>
      </w:r>
      <w:r>
        <w:rPr>
          <w:b/>
          <w:bCs/>
          <w:sz w:val="32"/>
          <w:szCs w:val="32"/>
        </w:rPr>
        <w:t xml:space="preserve"> plus</w:t>
      </w:r>
      <w:r w:rsidRPr="007644F7">
        <w:rPr>
          <w:b/>
          <w:bCs/>
          <w:sz w:val="32"/>
          <w:szCs w:val="32"/>
        </w:rPr>
        <w:t xml:space="preserve"> créatif</w:t>
      </w:r>
    </w:p>
    <w:p w:rsidR="00975C47" w:rsidRDefault="00975C47" w:rsidP="00975C47">
      <w:pPr>
        <w:rPr>
          <w:b/>
          <w:bCs/>
          <w:sz w:val="32"/>
          <w:szCs w:val="32"/>
        </w:rPr>
      </w:pPr>
      <w:r w:rsidRPr="006E325B">
        <w:rPr>
          <w:b/>
          <w:bCs/>
          <w:sz w:val="24"/>
          <w:szCs w:val="24"/>
        </w:rPr>
        <w:t xml:space="preserve"> </w:t>
      </w:r>
      <w:r w:rsidRPr="006E325B">
        <w:rPr>
          <w:sz w:val="24"/>
          <w:szCs w:val="24"/>
        </w:rPr>
        <w:t>Pr.</w:t>
      </w:r>
      <w:r w:rsidRPr="00C83101">
        <w:rPr>
          <w:bCs/>
          <w:sz w:val="24"/>
          <w:szCs w:val="24"/>
        </w:rPr>
        <w:t xml:space="preserve"> Jean Costentin</w:t>
      </w:r>
    </w:p>
    <w:p w:rsidR="00975C47" w:rsidRPr="00854FF4" w:rsidRDefault="00975C47" w:rsidP="00975C47">
      <w:pPr>
        <w:spacing w:line="240" w:lineRule="auto"/>
        <w:ind w:firstLine="708"/>
        <w:jc w:val="both"/>
        <w:rPr>
          <w:sz w:val="20"/>
          <w:szCs w:val="20"/>
        </w:rPr>
      </w:pPr>
      <w:r w:rsidRPr="005D6B5B">
        <w:rPr>
          <w:sz w:val="20"/>
          <w:szCs w:val="20"/>
        </w:rPr>
        <w:t>L’argument d’une stimulation de leur créativité a souvent été invoqué par des utilisateurs / abuseurs de cannabis</w:t>
      </w:r>
      <w:r>
        <w:rPr>
          <w:sz w:val="20"/>
          <w:szCs w:val="20"/>
        </w:rPr>
        <w:t>.</w:t>
      </w:r>
      <w:r w:rsidRPr="005D6B5B">
        <w:rPr>
          <w:sz w:val="20"/>
          <w:szCs w:val="20"/>
        </w:rPr>
        <w:t xml:space="preserve"> Correspond-il</w:t>
      </w:r>
      <w:r>
        <w:rPr>
          <w:sz w:val="20"/>
          <w:szCs w:val="20"/>
        </w:rPr>
        <w:t xml:space="preserve"> à la réalité ?</w:t>
      </w:r>
      <w:r w:rsidRPr="005D6B5B">
        <w:rPr>
          <w:sz w:val="20"/>
          <w:szCs w:val="20"/>
        </w:rPr>
        <w:t xml:space="preserve"> Est-ce une </w:t>
      </w:r>
      <w:r w:rsidRPr="00DB5673">
        <w:rPr>
          <w:sz w:val="20"/>
          <w:szCs w:val="20"/>
        </w:rPr>
        <w:t>justif</w:t>
      </w:r>
      <w:r w:rsidRPr="005D6B5B">
        <w:rPr>
          <w:sz w:val="20"/>
          <w:szCs w:val="20"/>
        </w:rPr>
        <w:t>ication ?  Une excuse ?  Une perception erronée ? Les explications possibles ne manqu</w:t>
      </w:r>
      <w:r>
        <w:rPr>
          <w:sz w:val="20"/>
          <w:szCs w:val="20"/>
        </w:rPr>
        <w:t>ai</w:t>
      </w:r>
      <w:r w:rsidRPr="005D6B5B">
        <w:rPr>
          <w:sz w:val="20"/>
          <w:szCs w:val="20"/>
        </w:rPr>
        <w:t xml:space="preserve">ent pas. Il fallait une étude spécifique pour trancher entre ces hypothèses.  Elle vient d’être publiée dans le J. </w:t>
      </w:r>
      <w:proofErr w:type="spellStart"/>
      <w:r w:rsidRPr="005D6B5B">
        <w:rPr>
          <w:sz w:val="20"/>
          <w:szCs w:val="20"/>
        </w:rPr>
        <w:t>Applied</w:t>
      </w:r>
      <w:proofErr w:type="spellEnd"/>
      <w:r w:rsidRPr="005D6B5B">
        <w:rPr>
          <w:sz w:val="20"/>
          <w:szCs w:val="20"/>
        </w:rPr>
        <w:t xml:space="preserve"> </w:t>
      </w:r>
      <w:proofErr w:type="spellStart"/>
      <w:r w:rsidRPr="005D6B5B">
        <w:rPr>
          <w:sz w:val="20"/>
          <w:szCs w:val="20"/>
        </w:rPr>
        <w:t>Psychol</w:t>
      </w:r>
      <w:proofErr w:type="spellEnd"/>
      <w:r w:rsidRPr="005D6B5B">
        <w:rPr>
          <w:sz w:val="20"/>
          <w:szCs w:val="20"/>
        </w:rPr>
        <w:t xml:space="preserve">. 2023, 108, 635-46 ; réalisée par YT Heng, CM Barnes* et KC Yam. </w:t>
      </w:r>
      <w:r w:rsidRPr="00F12F82">
        <w:rPr>
          <w:i/>
          <w:sz w:val="20"/>
          <w:szCs w:val="20"/>
          <w:lang w:val="en-GB"/>
        </w:rPr>
        <w:t xml:space="preserve">Cannabis use does not increase actual creativity but biases evaluations of creativity. </w:t>
      </w:r>
      <w:r w:rsidRPr="005D6B5B">
        <w:rPr>
          <w:i/>
          <w:sz w:val="20"/>
          <w:szCs w:val="20"/>
        </w:rPr>
        <w:t xml:space="preserve">*CM Barnes est Pr. de comportement organisationnel à la Foster </w:t>
      </w:r>
      <w:proofErr w:type="spellStart"/>
      <w:r w:rsidRPr="005D6B5B">
        <w:rPr>
          <w:i/>
          <w:sz w:val="20"/>
          <w:szCs w:val="20"/>
        </w:rPr>
        <w:t>school</w:t>
      </w:r>
      <w:proofErr w:type="spellEnd"/>
      <w:r w:rsidRPr="005D6B5B">
        <w:rPr>
          <w:i/>
          <w:sz w:val="20"/>
          <w:szCs w:val="20"/>
        </w:rPr>
        <w:t xml:space="preserve"> of business de l’Université de Washington</w:t>
      </w:r>
      <w:r w:rsidRPr="005D6B5B">
        <w:rPr>
          <w:sz w:val="20"/>
          <w:szCs w:val="20"/>
        </w:rPr>
        <w:t xml:space="preserve">.                                                      </w:t>
      </w:r>
      <w:r>
        <w:rPr>
          <w:sz w:val="20"/>
          <w:szCs w:val="20"/>
        </w:rPr>
        <w:t xml:space="preserve">        La</w:t>
      </w:r>
      <w:r w:rsidRPr="005D6B5B">
        <w:rPr>
          <w:sz w:val="20"/>
          <w:szCs w:val="20"/>
        </w:rPr>
        <w:t xml:space="preserve"> conclusion est exprimée dans le titre.</w:t>
      </w:r>
      <w:r>
        <w:rPr>
          <w:sz w:val="20"/>
          <w:szCs w:val="20"/>
        </w:rPr>
        <w:t xml:space="preserve">                                </w:t>
      </w:r>
      <w:r w:rsidRPr="005D6B5B">
        <w:rPr>
          <w:sz w:val="20"/>
          <w:szCs w:val="20"/>
        </w:rPr>
        <w:t>107 consommateurs légers de cannabis</w:t>
      </w:r>
      <w:r>
        <w:rPr>
          <w:sz w:val="20"/>
          <w:szCs w:val="20"/>
        </w:rPr>
        <w:t>, 15 min après avoir fumé du cannabis,</w:t>
      </w:r>
      <w:r w:rsidRPr="005D6B5B">
        <w:rPr>
          <w:sz w:val="20"/>
          <w:szCs w:val="20"/>
        </w:rPr>
        <w:t xml:space="preserve"> ont passé un test de créativité consistant à manipuler une brique et à trouver le plu</w:t>
      </w:r>
      <w:r>
        <w:rPr>
          <w:sz w:val="20"/>
          <w:szCs w:val="20"/>
        </w:rPr>
        <w:t>s d’utilisations innovantes</w:t>
      </w:r>
      <w:r w:rsidRPr="005D6B5B">
        <w:rPr>
          <w:sz w:val="20"/>
          <w:szCs w:val="20"/>
        </w:rPr>
        <w:t xml:space="preserve">. Il a été aussi demandé à 84 adultes de faire le test uniquement s’ils n'avaient pas consommé de cannabis au cours des 12 dernières heures.                                                               Dans une deuxième série d'expériences, 140 fumeurs de cannabis ont dû imaginer qu'ils travaillaient dans une société de conseil chargée d'augmenter les revenus d'une entreprise locale et qu’ils devaient trouver le maximum d'idées en cinq minutes, par comparaison avec la créativité </w:t>
      </w:r>
      <w:r w:rsidRPr="00DB5673">
        <w:rPr>
          <w:sz w:val="20"/>
          <w:szCs w:val="20"/>
        </w:rPr>
        <w:t xml:space="preserve">d’autres volontaires n’ayant pas consommé de cannabis.   </w:t>
      </w:r>
      <w:r w:rsidRPr="00DB5673">
        <w:rPr>
          <w:b/>
          <w:bCs/>
          <w:sz w:val="20"/>
          <w:szCs w:val="20"/>
        </w:rPr>
        <w:t>Il apparaît</w:t>
      </w:r>
      <w:r w:rsidRPr="005D6B5B">
        <w:rPr>
          <w:b/>
          <w:bCs/>
          <w:sz w:val="20"/>
          <w:szCs w:val="20"/>
        </w:rPr>
        <w:t xml:space="preserve"> que si le cannabis rend plus jovial il ne rend pas plus créatif.</w:t>
      </w:r>
      <w:r>
        <w:rPr>
          <w:sz w:val="20"/>
          <w:szCs w:val="20"/>
        </w:rPr>
        <w:t xml:space="preserve"> </w:t>
      </w:r>
      <w:r>
        <w:rPr>
          <w:bCs/>
          <w:sz w:val="20"/>
          <w:szCs w:val="20"/>
        </w:rPr>
        <w:t>Un psychiatre</w:t>
      </w:r>
      <w:r w:rsidRPr="005D6B5B">
        <w:rPr>
          <w:bCs/>
          <w:sz w:val="20"/>
          <w:szCs w:val="20"/>
        </w:rPr>
        <w:t xml:space="preserve"> nous a exposé un jour</w:t>
      </w:r>
      <w:r>
        <w:rPr>
          <w:bCs/>
          <w:sz w:val="20"/>
          <w:szCs w:val="20"/>
        </w:rPr>
        <w:t xml:space="preserve">, à </w:t>
      </w:r>
      <w:r w:rsidRPr="00DB5673">
        <w:rPr>
          <w:bCs/>
          <w:sz w:val="20"/>
          <w:szCs w:val="20"/>
        </w:rPr>
        <w:t>l’Aca</w:t>
      </w:r>
      <w:r>
        <w:rPr>
          <w:bCs/>
          <w:sz w:val="20"/>
          <w:szCs w:val="20"/>
        </w:rPr>
        <w:t xml:space="preserve">démie de médecine, qu’il avait filmé une soirée d’adolescents très enfumés de cannabis, et qu’il avait demandé, à distance, à plusieurs d’entre eux de raconter cette soirée. Il a constaté </w:t>
      </w:r>
      <w:r w:rsidRPr="00DB5673">
        <w:rPr>
          <w:bCs/>
          <w:sz w:val="20"/>
          <w:szCs w:val="20"/>
        </w:rPr>
        <w:t>un abîme entre</w:t>
      </w:r>
      <w:r>
        <w:rPr>
          <w:bCs/>
          <w:sz w:val="20"/>
          <w:szCs w:val="20"/>
        </w:rPr>
        <w:t xml:space="preserve"> le souvenir qu’ils en avaient et ce que le film montrait réellement. Tandis qu’ils prétendaient avoir atteint l’Olympe, tutoyé les anges, refait le monde après l’avoir parfaitement compris ; le film ne révélait que des rires bêtes, immotivés, des jeux de mots avortés, des onomatopées, une extrême pauvreté idéatoire </w:t>
      </w:r>
      <w:r w:rsidRPr="00DB5673">
        <w:rPr>
          <w:bCs/>
          <w:sz w:val="20"/>
          <w:szCs w:val="20"/>
        </w:rPr>
        <w:t>; chacun comprenait l’autre qui n’offrait rien à comprendre…</w:t>
      </w:r>
      <w:r>
        <w:rPr>
          <w:sz w:val="20"/>
          <w:szCs w:val="20"/>
        </w:rPr>
        <w:t xml:space="preserve"> </w:t>
      </w:r>
      <w:r w:rsidRPr="005D6B5B">
        <w:rPr>
          <w:bCs/>
          <w:sz w:val="20"/>
          <w:szCs w:val="20"/>
        </w:rPr>
        <w:t xml:space="preserve">Dans le collège de </w:t>
      </w:r>
      <w:r w:rsidRPr="00DB5673">
        <w:rPr>
          <w:bCs/>
          <w:sz w:val="20"/>
          <w:szCs w:val="20"/>
        </w:rPr>
        <w:t>l’Age</w:t>
      </w:r>
      <w:r w:rsidRPr="005D6B5B">
        <w:rPr>
          <w:bCs/>
          <w:sz w:val="20"/>
          <w:szCs w:val="20"/>
        </w:rPr>
        <w:t>nce française de lutte contre le dopage (AFLD), nous nous appliqu</w:t>
      </w:r>
      <w:r>
        <w:rPr>
          <w:bCs/>
          <w:sz w:val="20"/>
          <w:szCs w:val="20"/>
        </w:rPr>
        <w:t>ons à démasquer les sportifs qui o</w:t>
      </w:r>
      <w:r w:rsidRPr="005D6B5B">
        <w:rPr>
          <w:bCs/>
          <w:sz w:val="20"/>
          <w:szCs w:val="20"/>
        </w:rPr>
        <w:t>nt eu recours à des agents dopants pour améliorer leurs performances, se créant ainsi un avantage par rapport à leurs concurrents qui respectent l’interdiction des agents dopants. Les contrevenants se voient privés des trophées et primes obtenues pour leur victoire usurpée ; ils sont aussi interdits de participer à des compétitions pendant u</w:t>
      </w:r>
      <w:r>
        <w:rPr>
          <w:bCs/>
          <w:sz w:val="20"/>
          <w:szCs w:val="20"/>
        </w:rPr>
        <w:t>ne période qui peut durer plusieurs années</w:t>
      </w:r>
      <w:r w:rsidRPr="005D6B5B">
        <w:rPr>
          <w:bCs/>
          <w:sz w:val="20"/>
          <w:szCs w:val="20"/>
        </w:rPr>
        <w:t>, ils peuvent même devoir verser une amende.</w:t>
      </w:r>
    </w:p>
    <w:p w:rsidR="00975C47" w:rsidRDefault="00975C47" w:rsidP="00975C47">
      <w:pPr>
        <w:spacing w:line="240" w:lineRule="auto"/>
        <w:ind w:firstLine="708"/>
        <w:jc w:val="both"/>
        <w:rPr>
          <w:bCs/>
          <w:sz w:val="20"/>
          <w:szCs w:val="20"/>
        </w:rPr>
      </w:pPr>
      <w:r w:rsidRPr="005D6B5B">
        <w:rPr>
          <w:bCs/>
          <w:sz w:val="20"/>
          <w:szCs w:val="20"/>
        </w:rPr>
        <w:t xml:space="preserve"> Dans cette période où l’on ne s’interdit plus de revisiter l’histoire, de remanier certaines œuvres et d’en mettre d’autres à l’ind</w:t>
      </w:r>
      <w:r>
        <w:rPr>
          <w:bCs/>
          <w:sz w:val="20"/>
          <w:szCs w:val="20"/>
        </w:rPr>
        <w:t>ex, ne devrait-on pas</w:t>
      </w:r>
      <w:r w:rsidRPr="005D6B5B">
        <w:rPr>
          <w:bCs/>
          <w:sz w:val="20"/>
          <w:szCs w:val="20"/>
        </w:rPr>
        <w:t xml:space="preserve"> relativiser certaines « œuvres »</w:t>
      </w:r>
      <w:r>
        <w:rPr>
          <w:bCs/>
          <w:sz w:val="20"/>
          <w:szCs w:val="20"/>
        </w:rPr>
        <w:t>,</w:t>
      </w:r>
      <w:r w:rsidRPr="005D6B5B">
        <w:rPr>
          <w:bCs/>
          <w:sz w:val="20"/>
          <w:szCs w:val="20"/>
        </w:rPr>
        <w:t xml:space="preserve"> réalisées sous l’emprise de drogues diverses et variées </w:t>
      </w:r>
      <w:proofErr w:type="gramStart"/>
      <w:r w:rsidRPr="005D6B5B">
        <w:rPr>
          <w:bCs/>
          <w:sz w:val="20"/>
          <w:szCs w:val="20"/>
        </w:rPr>
        <w:t>;  ce</w:t>
      </w:r>
      <w:proofErr w:type="gramEnd"/>
      <w:r w:rsidRPr="005D6B5B">
        <w:rPr>
          <w:bCs/>
          <w:sz w:val="20"/>
          <w:szCs w:val="20"/>
        </w:rPr>
        <w:t xml:space="preserve"> qui mettrait mieux en exergue celles qui sont l’expression du génie humain, non remanié par des drogues et autres psychotropes. </w:t>
      </w:r>
    </w:p>
    <w:p w:rsidR="00975C47" w:rsidRPr="00854FF4" w:rsidRDefault="00975C47" w:rsidP="00975C47">
      <w:pPr>
        <w:spacing w:line="240" w:lineRule="auto"/>
        <w:ind w:firstLine="708"/>
        <w:jc w:val="both"/>
        <w:rPr>
          <w:bCs/>
          <w:sz w:val="20"/>
          <w:szCs w:val="20"/>
        </w:rPr>
      </w:pPr>
      <w:r w:rsidRPr="00673DA2">
        <w:rPr>
          <w:b/>
          <w:sz w:val="28"/>
          <w:szCs w:val="28"/>
        </w:rPr>
        <w:t>L’expérimentation visant à déterminer les potentialités thé</w:t>
      </w:r>
      <w:r>
        <w:rPr>
          <w:b/>
          <w:sz w:val="28"/>
          <w:szCs w:val="28"/>
        </w:rPr>
        <w:t xml:space="preserve">rapeutiques du cannabis s’apparente à </w:t>
      </w:r>
      <w:r w:rsidRPr="00673DA2">
        <w:rPr>
          <w:b/>
          <w:sz w:val="28"/>
          <w:szCs w:val="28"/>
        </w:rPr>
        <w:t>un affligeant « bidouillage »</w:t>
      </w:r>
    </w:p>
    <w:p w:rsidR="00975C47" w:rsidRDefault="00975C47" w:rsidP="00975C47">
      <w:pPr>
        <w:jc w:val="center"/>
        <w:rPr>
          <w:sz w:val="28"/>
          <w:szCs w:val="28"/>
        </w:rPr>
      </w:pPr>
      <w:r>
        <w:rPr>
          <w:sz w:val="28"/>
          <w:szCs w:val="28"/>
        </w:rPr>
        <w:t>Pr. Jean Costentin</w:t>
      </w:r>
    </w:p>
    <w:p w:rsidR="00975C47" w:rsidRPr="00CE12E4" w:rsidRDefault="00975C47" w:rsidP="00975C47">
      <w:pPr>
        <w:ind w:firstLine="708"/>
        <w:jc w:val="both"/>
        <w:rPr>
          <w:sz w:val="20"/>
          <w:szCs w:val="20"/>
        </w:rPr>
      </w:pPr>
      <w:r w:rsidRPr="00CE12E4">
        <w:rPr>
          <w:sz w:val="20"/>
          <w:szCs w:val="20"/>
        </w:rPr>
        <w:t xml:space="preserve">L’étude des potentialités thérapeutiques du cannabis émane de la mission parlementaire instaurée par monsieur O. </w:t>
      </w:r>
      <w:proofErr w:type="spellStart"/>
      <w:r w:rsidRPr="00CE12E4">
        <w:rPr>
          <w:sz w:val="20"/>
          <w:szCs w:val="20"/>
        </w:rPr>
        <w:t>Véran</w:t>
      </w:r>
      <w:proofErr w:type="spellEnd"/>
      <w:r w:rsidRPr="00CE12E4">
        <w:rPr>
          <w:sz w:val="20"/>
          <w:szCs w:val="20"/>
        </w:rPr>
        <w:t xml:space="preserve">, alors député, avant qu’il soit le ministre de la Santé que l’on sait, et devienne aujourd’hui le Porte-parole du Gouvernement. Dès l’origine cette mission n’a pas dissimulé son dessein d’une légalisation du cannabis, à divers titres : « thérapeutiques » ; « de confort » (pensant sans doute au </w:t>
      </w:r>
      <w:proofErr w:type="spellStart"/>
      <w:r w:rsidRPr="00CE12E4">
        <w:rPr>
          <w:sz w:val="20"/>
          <w:szCs w:val="20"/>
        </w:rPr>
        <w:t>cannabidiol</w:t>
      </w:r>
      <w:proofErr w:type="spellEnd"/>
      <w:r w:rsidRPr="00CE12E4">
        <w:rPr>
          <w:sz w:val="20"/>
          <w:szCs w:val="20"/>
        </w:rPr>
        <w:t xml:space="preserve">/CBD, dont les ventes explosent) ; et à des fins qualifiées de « récréatives » (dit sans contorsions, toxicomaniaques, avec son tétrahydrocannabinol / THC).  </w:t>
      </w:r>
    </w:p>
    <w:p w:rsidR="00975C47" w:rsidRPr="00CE12E4" w:rsidRDefault="00975C47" w:rsidP="00975C47">
      <w:pPr>
        <w:ind w:firstLine="708"/>
        <w:jc w:val="both"/>
        <w:rPr>
          <w:sz w:val="20"/>
          <w:szCs w:val="20"/>
        </w:rPr>
      </w:pPr>
      <w:r w:rsidRPr="00CE12E4">
        <w:rPr>
          <w:sz w:val="20"/>
          <w:szCs w:val="20"/>
        </w:rPr>
        <w:t xml:space="preserve">La première strate de ce projet a été confiée à un pharmacien, médecin psychiatre Clermontois, Nicolas Authier ; sans notoriété, ni sur le cannabis, ni sur les essais cliniques. En bon supplétif de ses commanditaires, il a parlé d’emblée de « cannabis thérapeutique », tirant par cette appellation les conclusions de l’étude qu’il n’avait pas même débutée ; façon grossière de forcer le destin. Puis il a présenté comme un « essai clinique » une étude dérogeant complètement à l’art et aux règles rigoureuses du parcours du combattant pouvant faire accéder une substance nouvelle à la dignité de médicament (et ainsi d’obtenir l’autorisation de mise sur le marché - AMM). Devant le tollé des experts pharmacologues et thérapeutes, relayé par les </w:t>
      </w:r>
      <w:r>
        <w:rPr>
          <w:sz w:val="20"/>
          <w:szCs w:val="20"/>
        </w:rPr>
        <w:t>A</w:t>
      </w:r>
      <w:r w:rsidRPr="00CE12E4">
        <w:rPr>
          <w:sz w:val="20"/>
          <w:szCs w:val="20"/>
        </w:rPr>
        <w:t>cadémies nationales de médecine et de pharmacie, N. Authier a dû rétrocéder l’appellation de son « essai clinique » en celle d</w:t>
      </w:r>
      <w:proofErr w:type="gramStart"/>
      <w:r w:rsidRPr="00CE12E4">
        <w:rPr>
          <w:sz w:val="20"/>
          <w:szCs w:val="20"/>
        </w:rPr>
        <w:t>’«</w:t>
      </w:r>
      <w:proofErr w:type="gramEnd"/>
      <w:r w:rsidRPr="00CE12E4">
        <w:rPr>
          <w:sz w:val="20"/>
          <w:szCs w:val="20"/>
        </w:rPr>
        <w:t xml:space="preserve"> expérimentation ». Elle n’en demeure pas moins un « bidouillage », lourd </w:t>
      </w:r>
      <w:r w:rsidRPr="00DB5673">
        <w:rPr>
          <w:sz w:val="20"/>
          <w:szCs w:val="20"/>
        </w:rPr>
        <w:t>et coûteux,</w:t>
      </w:r>
      <w:r w:rsidRPr="00CE12E4">
        <w:rPr>
          <w:sz w:val="20"/>
          <w:szCs w:val="20"/>
        </w:rPr>
        <w:t xml:space="preserve"> donnant l’impression que les conclusions sont écrites avant sa mise en œuvre, alors que sa méthodologie ne saurait autoriser l’obtention d’une AMM (mais les aberrations communes en matière de cannabis peuvent le faire craindre).  Pourquoi taxer cette étude de « bidouillage » ?</w:t>
      </w:r>
    </w:p>
    <w:p w:rsidR="00975C47" w:rsidRPr="00CE12E4" w:rsidRDefault="00975C47" w:rsidP="00975C47">
      <w:pPr>
        <w:ind w:firstLine="708"/>
        <w:jc w:val="both"/>
        <w:rPr>
          <w:sz w:val="20"/>
          <w:szCs w:val="20"/>
        </w:rPr>
      </w:pPr>
      <w:r w:rsidRPr="00CE12E4">
        <w:rPr>
          <w:sz w:val="20"/>
          <w:szCs w:val="20"/>
        </w:rPr>
        <w:t xml:space="preserve">-Du fait de l’absence d’une investigation en « double aveugle » ; puisque dans cette expérimentation le médecin qui évalue les résultats sait </w:t>
      </w:r>
      <w:r>
        <w:rPr>
          <w:sz w:val="20"/>
          <w:szCs w:val="20"/>
        </w:rPr>
        <w:t>ce que le patient a reçu, et</w:t>
      </w:r>
      <w:r w:rsidRPr="00CE12E4">
        <w:rPr>
          <w:sz w:val="20"/>
          <w:szCs w:val="20"/>
        </w:rPr>
        <w:t xml:space="preserve"> le patient sait ce qu’on lui a administré ;</w:t>
      </w:r>
    </w:p>
    <w:p w:rsidR="00975C47" w:rsidRPr="00CE12E4" w:rsidRDefault="00975C47" w:rsidP="00975C47">
      <w:pPr>
        <w:ind w:firstLine="708"/>
        <w:jc w:val="both"/>
        <w:rPr>
          <w:sz w:val="20"/>
          <w:szCs w:val="20"/>
        </w:rPr>
      </w:pPr>
      <w:r w:rsidRPr="00CE12E4">
        <w:rPr>
          <w:sz w:val="20"/>
          <w:szCs w:val="20"/>
        </w:rPr>
        <w:t>-Du fait de l’absence d’un placébo ;</w:t>
      </w:r>
    </w:p>
    <w:p w:rsidR="00975C47" w:rsidRPr="00CE12E4" w:rsidRDefault="00975C47" w:rsidP="00975C47">
      <w:pPr>
        <w:ind w:firstLine="708"/>
        <w:jc w:val="both"/>
        <w:rPr>
          <w:sz w:val="20"/>
          <w:szCs w:val="20"/>
        </w:rPr>
      </w:pPr>
      <w:r w:rsidRPr="00CE12E4">
        <w:rPr>
          <w:sz w:val="20"/>
          <w:szCs w:val="20"/>
        </w:rPr>
        <w:t>-Du fait de l’absence d’un médicament de référence pour chacune des 5 pathologies ou situations cliniques explorées,</w:t>
      </w:r>
      <w:r>
        <w:rPr>
          <w:sz w:val="20"/>
          <w:szCs w:val="20"/>
        </w:rPr>
        <w:t xml:space="preserve"> ce</w:t>
      </w:r>
      <w:r w:rsidRPr="00CE12E4">
        <w:rPr>
          <w:sz w:val="20"/>
          <w:szCs w:val="20"/>
        </w:rPr>
        <w:t xml:space="preserve"> qui permettrait de comparer</w:t>
      </w:r>
      <w:r>
        <w:rPr>
          <w:sz w:val="20"/>
          <w:szCs w:val="20"/>
        </w:rPr>
        <w:t xml:space="preserve"> ses effets à ceux produit par</w:t>
      </w:r>
      <w:r w:rsidRPr="00CE12E4">
        <w:rPr>
          <w:sz w:val="20"/>
          <w:szCs w:val="20"/>
        </w:rPr>
        <w:t xml:space="preserve"> le cannabis ;</w:t>
      </w:r>
    </w:p>
    <w:p w:rsidR="00975C47" w:rsidRPr="00CE12E4" w:rsidRDefault="00975C47" w:rsidP="00975C47">
      <w:pPr>
        <w:ind w:firstLine="708"/>
        <w:jc w:val="both"/>
        <w:rPr>
          <w:sz w:val="20"/>
          <w:szCs w:val="20"/>
        </w:rPr>
      </w:pPr>
      <w:r w:rsidRPr="00CE12E4">
        <w:rPr>
          <w:sz w:val="20"/>
          <w:szCs w:val="20"/>
        </w:rPr>
        <w:t>-Du fait qu’on ne connaît des produits administrés que leurs ta</w:t>
      </w:r>
      <w:r>
        <w:rPr>
          <w:sz w:val="20"/>
          <w:szCs w:val="20"/>
        </w:rPr>
        <w:t>ux relatifs de THC et de CBD, alors</w:t>
      </w:r>
      <w:r w:rsidRPr="00CE12E4">
        <w:rPr>
          <w:sz w:val="20"/>
          <w:szCs w:val="20"/>
        </w:rPr>
        <w:t xml:space="preserve"> qu’on ignore les taux des autres cannabinoïdes présents dans la plante </w:t>
      </w:r>
      <w:r w:rsidRPr="00CE12E4">
        <w:rPr>
          <w:sz w:val="20"/>
          <w:szCs w:val="20"/>
        </w:rPr>
        <w:lastRenderedPageBreak/>
        <w:t>(au nombre de près de trois cents) ainsi que des substances non cannabinoïdes ; tou</w:t>
      </w:r>
      <w:r>
        <w:rPr>
          <w:sz w:val="20"/>
          <w:szCs w:val="20"/>
        </w:rPr>
        <w:t>te</w:t>
      </w:r>
      <w:r w:rsidRPr="00CE12E4">
        <w:rPr>
          <w:sz w:val="20"/>
          <w:szCs w:val="20"/>
        </w:rPr>
        <w:t>s ces molécules</w:t>
      </w:r>
      <w:r>
        <w:rPr>
          <w:sz w:val="20"/>
          <w:szCs w:val="20"/>
        </w:rPr>
        <w:t>,</w:t>
      </w:r>
      <w:r w:rsidRPr="00CE12E4">
        <w:rPr>
          <w:sz w:val="20"/>
          <w:szCs w:val="20"/>
        </w:rPr>
        <w:t xml:space="preserve"> dont certaines peuvent être biologiquement actives, sont à un taux variable d’un lot à l’autre, dans cette sorte de </w:t>
      </w:r>
      <w:r>
        <w:rPr>
          <w:sz w:val="20"/>
          <w:szCs w:val="20"/>
        </w:rPr>
        <w:t>« soupe</w:t>
      </w:r>
      <w:r w:rsidRPr="00CE12E4">
        <w:rPr>
          <w:sz w:val="20"/>
          <w:szCs w:val="20"/>
        </w:rPr>
        <w:t xml:space="preserve"> végétale</w:t>
      </w:r>
      <w:r>
        <w:rPr>
          <w:sz w:val="20"/>
          <w:szCs w:val="20"/>
        </w:rPr>
        <w:t> »</w:t>
      </w:r>
      <w:r w:rsidRPr="00CE12E4">
        <w:rPr>
          <w:sz w:val="20"/>
          <w:szCs w:val="20"/>
        </w:rPr>
        <w:t xml:space="preserve"> (« végétal varie, bien fou qui s’y fie »</w:t>
      </w:r>
    </w:p>
    <w:p w:rsidR="00975C47" w:rsidRPr="00CE12E4" w:rsidRDefault="00975C47" w:rsidP="00975C47">
      <w:pPr>
        <w:ind w:firstLine="708"/>
        <w:jc w:val="both"/>
        <w:rPr>
          <w:sz w:val="20"/>
          <w:szCs w:val="20"/>
        </w:rPr>
      </w:pPr>
      <w:r w:rsidRPr="00CE12E4">
        <w:rPr>
          <w:sz w:val="20"/>
          <w:szCs w:val="20"/>
        </w:rPr>
        <w:t>-du fai</w:t>
      </w:r>
      <w:r>
        <w:rPr>
          <w:sz w:val="20"/>
          <w:szCs w:val="20"/>
        </w:rPr>
        <w:t>t d’un nombre restreint des</w:t>
      </w:r>
      <w:r w:rsidRPr="00CE12E4">
        <w:rPr>
          <w:sz w:val="20"/>
          <w:szCs w:val="20"/>
        </w:rPr>
        <w:t xml:space="preserve"> patients prévus ;</w:t>
      </w:r>
      <w:r>
        <w:rPr>
          <w:sz w:val="20"/>
          <w:szCs w:val="20"/>
        </w:rPr>
        <w:t xml:space="preserve"> 3.000 est un</w:t>
      </w:r>
      <w:r w:rsidRPr="00CE12E4">
        <w:rPr>
          <w:sz w:val="20"/>
          <w:szCs w:val="20"/>
        </w:rPr>
        <w:t xml:space="preserve"> nombre faible pour expérimenter sur cinq pathologies ou situations cliniques différentes, avec 3 types d‘associations THC/CBD, avec pour chacune d’elles des posologies différentes ; d’autant que les recrutements, qui en sont aux 2/3, s’essoufflent et qu’il y aurait déjà plus de 300 patients perdus de vue ; ce qui pourrait disqualifier l’expérimentation… </w:t>
      </w:r>
      <w:r>
        <w:rPr>
          <w:sz w:val="20"/>
          <w:szCs w:val="20"/>
        </w:rPr>
        <w:t>Pourtant</w:t>
      </w:r>
      <w:r w:rsidRPr="00CE12E4">
        <w:rPr>
          <w:sz w:val="20"/>
          <w:szCs w:val="20"/>
        </w:rPr>
        <w:t xml:space="preserve"> le promoteur était incité à tirer ses conclusions avant d’atteindre le nombre des recrutements prévus… mais le ministre de la Santé a requis la prolongation de</w:t>
      </w:r>
      <w:r>
        <w:rPr>
          <w:sz w:val="20"/>
          <w:szCs w:val="20"/>
        </w:rPr>
        <w:t xml:space="preserve"> l’étude de près d’une année</w:t>
      </w:r>
      <w:r w:rsidRPr="00CE12E4">
        <w:rPr>
          <w:sz w:val="20"/>
          <w:szCs w:val="20"/>
        </w:rPr>
        <w:t>.</w:t>
      </w:r>
    </w:p>
    <w:p w:rsidR="00975C47" w:rsidRPr="002E3CE7" w:rsidRDefault="00975C47" w:rsidP="00975C47">
      <w:pPr>
        <w:ind w:firstLine="708"/>
        <w:jc w:val="both"/>
        <w:rPr>
          <w:i/>
          <w:sz w:val="20"/>
          <w:szCs w:val="20"/>
        </w:rPr>
      </w:pPr>
      <w:r w:rsidRPr="00CE12E4">
        <w:rPr>
          <w:sz w:val="20"/>
          <w:szCs w:val="20"/>
        </w:rPr>
        <w:t>-On apprend, sans beaucoup de détails, que des effets adverses sont à déplorer, lesquels, dans une étude conventionnelle, aurai</w:t>
      </w:r>
      <w:r>
        <w:rPr>
          <w:sz w:val="20"/>
          <w:szCs w:val="20"/>
        </w:rPr>
        <w:t>ent pu conduire à l’arrêt de l’essai clinique.</w:t>
      </w:r>
      <w:r w:rsidRPr="00CE12E4">
        <w:rPr>
          <w:sz w:val="20"/>
          <w:szCs w:val="20"/>
        </w:rPr>
        <w:t>..</w:t>
      </w:r>
      <w:r>
        <w:rPr>
          <w:sz w:val="20"/>
          <w:szCs w:val="20"/>
        </w:rPr>
        <w:t xml:space="preserve"> mais il s’agit, bien sûr, d’une </w:t>
      </w:r>
      <w:r>
        <w:rPr>
          <w:i/>
          <w:sz w:val="20"/>
          <w:szCs w:val="20"/>
        </w:rPr>
        <w:t>expérimentation.</w:t>
      </w:r>
    </w:p>
    <w:p w:rsidR="00975C47" w:rsidRPr="00CE12E4" w:rsidRDefault="00975C47" w:rsidP="00975C47">
      <w:pPr>
        <w:ind w:firstLine="708"/>
        <w:jc w:val="both"/>
        <w:rPr>
          <w:sz w:val="20"/>
          <w:szCs w:val="20"/>
        </w:rPr>
      </w:pPr>
      <w:r w:rsidRPr="00CE12E4">
        <w:rPr>
          <w:sz w:val="20"/>
          <w:szCs w:val="20"/>
        </w:rPr>
        <w:t xml:space="preserve">Le terme « bidouillage » a pu vous </w:t>
      </w:r>
      <w:r>
        <w:rPr>
          <w:sz w:val="20"/>
          <w:szCs w:val="20"/>
        </w:rPr>
        <w:t>heurter dans le titre mais s’est trouvé</w:t>
      </w:r>
      <w:r w:rsidRPr="00CE12E4">
        <w:rPr>
          <w:sz w:val="20"/>
          <w:szCs w:val="20"/>
        </w:rPr>
        <w:t xml:space="preserve"> justifié, je le souhaite, dans le développement qui a suivi.</w:t>
      </w:r>
    </w:p>
    <w:p w:rsidR="00975C47" w:rsidRPr="00CE12E4" w:rsidRDefault="00975C47" w:rsidP="00975C47">
      <w:pPr>
        <w:ind w:firstLine="708"/>
        <w:jc w:val="both"/>
        <w:rPr>
          <w:sz w:val="20"/>
          <w:szCs w:val="20"/>
        </w:rPr>
      </w:pPr>
      <w:r w:rsidRPr="00CE12E4">
        <w:rPr>
          <w:sz w:val="20"/>
          <w:szCs w:val="20"/>
        </w:rPr>
        <w:t xml:space="preserve">Cette </w:t>
      </w:r>
      <w:r w:rsidRPr="002E3CE7">
        <w:rPr>
          <w:i/>
          <w:sz w:val="20"/>
          <w:szCs w:val="20"/>
        </w:rPr>
        <w:t>expérimentation</w:t>
      </w:r>
      <w:r w:rsidRPr="00CE12E4">
        <w:rPr>
          <w:sz w:val="20"/>
          <w:szCs w:val="20"/>
        </w:rPr>
        <w:t xml:space="preserve"> a servi de justification à l’instauration</w:t>
      </w:r>
      <w:r>
        <w:rPr>
          <w:sz w:val="20"/>
          <w:szCs w:val="20"/>
        </w:rPr>
        <w:t>,</w:t>
      </w:r>
      <w:r w:rsidRPr="00CE12E4">
        <w:rPr>
          <w:sz w:val="20"/>
          <w:szCs w:val="20"/>
        </w:rPr>
        <w:t xml:space="preserve"> par décret ministériel</w:t>
      </w:r>
      <w:r>
        <w:rPr>
          <w:sz w:val="20"/>
          <w:szCs w:val="20"/>
        </w:rPr>
        <w:t>,</w:t>
      </w:r>
      <w:r w:rsidRPr="00CE12E4">
        <w:rPr>
          <w:sz w:val="20"/>
          <w:szCs w:val="20"/>
        </w:rPr>
        <w:t xml:space="preserve"> d’une filière de culture d’un cannabis « </w:t>
      </w:r>
      <w:r w:rsidRPr="00CE12E4">
        <w:rPr>
          <w:i/>
          <w:sz w:val="20"/>
          <w:szCs w:val="20"/>
        </w:rPr>
        <w:t>shit</w:t>
      </w:r>
      <w:r w:rsidRPr="00CE12E4">
        <w:rPr>
          <w:sz w:val="20"/>
          <w:szCs w:val="20"/>
        </w:rPr>
        <w:t xml:space="preserve"> in France », sous le fallacieux prétexte de produire les produits utilisés pour cette « expérimentation ». Elle fournira</w:t>
      </w:r>
      <w:r>
        <w:rPr>
          <w:sz w:val="20"/>
          <w:szCs w:val="20"/>
        </w:rPr>
        <w:t xml:space="preserve"> </w:t>
      </w:r>
      <w:r w:rsidRPr="00CE12E4">
        <w:rPr>
          <w:sz w:val="20"/>
          <w:szCs w:val="20"/>
        </w:rPr>
        <w:t>ce cannabis quand l’</w:t>
      </w:r>
      <w:r w:rsidRPr="002E3CE7">
        <w:rPr>
          <w:i/>
          <w:sz w:val="20"/>
          <w:szCs w:val="20"/>
        </w:rPr>
        <w:t>expérimentation</w:t>
      </w:r>
      <w:r>
        <w:rPr>
          <w:sz w:val="20"/>
          <w:szCs w:val="20"/>
        </w:rPr>
        <w:t xml:space="preserve"> sera terminée. Cette </w:t>
      </w:r>
      <w:r w:rsidRPr="002E3CE7">
        <w:rPr>
          <w:i/>
          <w:sz w:val="20"/>
          <w:szCs w:val="20"/>
        </w:rPr>
        <w:t>expérimentation</w:t>
      </w:r>
      <w:r w:rsidRPr="00CE12E4">
        <w:rPr>
          <w:sz w:val="20"/>
          <w:szCs w:val="20"/>
        </w:rPr>
        <w:t xml:space="preserve"> a, jusqu’à maintenant, fait appel à des produits achetés à l’étranger. Il eut d’ailleurs été facile de prélever la </w:t>
      </w:r>
      <w:r w:rsidRPr="00CE12E4">
        <w:rPr>
          <w:b/>
          <w:sz w:val="20"/>
          <w:szCs w:val="20"/>
        </w:rPr>
        <w:t>centaine de</w:t>
      </w:r>
      <w:r w:rsidRPr="00CE12E4">
        <w:rPr>
          <w:sz w:val="20"/>
          <w:szCs w:val="20"/>
        </w:rPr>
        <w:t xml:space="preserve"> </w:t>
      </w:r>
      <w:r w:rsidRPr="00CE12E4">
        <w:rPr>
          <w:b/>
          <w:sz w:val="20"/>
          <w:szCs w:val="20"/>
        </w:rPr>
        <w:t xml:space="preserve">kilos </w:t>
      </w:r>
      <w:r w:rsidRPr="00CE12E4">
        <w:rPr>
          <w:sz w:val="20"/>
          <w:szCs w:val="20"/>
        </w:rPr>
        <w:t>nécessaire pour l’</w:t>
      </w:r>
      <w:r w:rsidRPr="00E030D4">
        <w:rPr>
          <w:i/>
          <w:sz w:val="20"/>
          <w:szCs w:val="20"/>
        </w:rPr>
        <w:t>expérimentation</w:t>
      </w:r>
      <w:r w:rsidRPr="00CE12E4">
        <w:rPr>
          <w:sz w:val="20"/>
          <w:szCs w:val="20"/>
        </w:rPr>
        <w:t xml:space="preserve"> à partir des </w:t>
      </w:r>
      <w:r w:rsidRPr="00CE12E4">
        <w:rPr>
          <w:b/>
          <w:sz w:val="20"/>
          <w:szCs w:val="20"/>
        </w:rPr>
        <w:t>cent trente</w:t>
      </w:r>
      <w:r w:rsidRPr="00CE12E4">
        <w:rPr>
          <w:sz w:val="20"/>
          <w:szCs w:val="20"/>
        </w:rPr>
        <w:t xml:space="preserve"> </w:t>
      </w:r>
      <w:r w:rsidRPr="00CE12E4">
        <w:rPr>
          <w:b/>
          <w:sz w:val="20"/>
          <w:szCs w:val="20"/>
        </w:rPr>
        <w:t>tonnes</w:t>
      </w:r>
      <w:r w:rsidRPr="00CE12E4">
        <w:rPr>
          <w:sz w:val="20"/>
          <w:szCs w:val="20"/>
        </w:rPr>
        <w:t xml:space="preserve"> de cannabis saisies l’an passé en France par les douanes. Ce prétexte illustre la pression incessante</w:t>
      </w:r>
      <w:r>
        <w:rPr>
          <w:sz w:val="20"/>
          <w:szCs w:val="20"/>
        </w:rPr>
        <w:t xml:space="preserve"> exercée par</w:t>
      </w:r>
      <w:r w:rsidRPr="00CE12E4">
        <w:rPr>
          <w:sz w:val="20"/>
          <w:szCs w:val="20"/>
        </w:rPr>
        <w:t xml:space="preserve"> des manipulateurs qui sont aux manettes pour la légalisation en</w:t>
      </w:r>
      <w:r>
        <w:rPr>
          <w:sz w:val="20"/>
          <w:szCs w:val="20"/>
        </w:rPr>
        <w:t xml:space="preserve"> France du cannabis pour tous les desseins visés</w:t>
      </w:r>
      <w:r w:rsidRPr="00CE12E4">
        <w:rPr>
          <w:sz w:val="20"/>
          <w:szCs w:val="20"/>
        </w:rPr>
        <w:t>.</w:t>
      </w:r>
    </w:p>
    <w:p w:rsidR="00975C47" w:rsidRPr="00CE12E4" w:rsidRDefault="00975C47" w:rsidP="00975C47">
      <w:pPr>
        <w:ind w:firstLine="708"/>
        <w:jc w:val="both"/>
        <w:rPr>
          <w:sz w:val="20"/>
          <w:szCs w:val="20"/>
        </w:rPr>
      </w:pPr>
      <w:r w:rsidRPr="00CE12E4">
        <w:rPr>
          <w:sz w:val="20"/>
          <w:szCs w:val="20"/>
        </w:rPr>
        <w:t>Au lieu d’élargir au cannabis la part du feu déjà concédée à l’alcool et au tabac, il importe de réduire l’espace de ces deux dernières drogues qui</w:t>
      </w:r>
      <w:r>
        <w:rPr>
          <w:sz w:val="20"/>
          <w:szCs w:val="20"/>
        </w:rPr>
        <w:t xml:space="preserve"> tuent,</w:t>
      </w:r>
      <w:r w:rsidRPr="00CE12E4">
        <w:rPr>
          <w:sz w:val="20"/>
          <w:szCs w:val="20"/>
        </w:rPr>
        <w:t xml:space="preserve"> chaque année</w:t>
      </w:r>
      <w:r>
        <w:rPr>
          <w:sz w:val="20"/>
          <w:szCs w:val="20"/>
        </w:rPr>
        <w:t>,</w:t>
      </w:r>
      <w:r w:rsidRPr="00CE12E4">
        <w:rPr>
          <w:sz w:val="20"/>
          <w:szCs w:val="20"/>
        </w:rPr>
        <w:t xml:space="preserve"> à elles deux</w:t>
      </w:r>
      <w:r>
        <w:rPr>
          <w:sz w:val="20"/>
          <w:szCs w:val="20"/>
        </w:rPr>
        <w:t>,</w:t>
      </w:r>
      <w:r w:rsidRPr="00CE12E4">
        <w:rPr>
          <w:sz w:val="20"/>
          <w:szCs w:val="20"/>
        </w:rPr>
        <w:t xml:space="preserve"> 120.000 de nos concitoyens et qui estropient un nombre très supérieur d’entre eux.</w:t>
      </w:r>
    </w:p>
    <w:p w:rsidR="00975C47" w:rsidRPr="00CE12E4" w:rsidRDefault="00975C47" w:rsidP="00975C47">
      <w:pPr>
        <w:jc w:val="center"/>
        <w:rPr>
          <w:b/>
          <w:bCs/>
          <w:sz w:val="28"/>
          <w:szCs w:val="28"/>
        </w:rPr>
      </w:pPr>
      <w:r w:rsidRPr="00CE12E4">
        <w:rPr>
          <w:b/>
          <w:bCs/>
          <w:sz w:val="28"/>
          <w:szCs w:val="28"/>
        </w:rPr>
        <w:t>Et l’on reparle d’un traitement très novateur de l’addiction au cannabis/THC</w:t>
      </w:r>
      <w:r>
        <w:rPr>
          <w:b/>
          <w:bCs/>
          <w:sz w:val="28"/>
          <w:szCs w:val="28"/>
        </w:rPr>
        <w:t xml:space="preserve"> </w:t>
      </w:r>
      <w:r w:rsidRPr="00CE12E4">
        <w:rPr>
          <w:bCs/>
          <w:sz w:val="28"/>
          <w:szCs w:val="28"/>
        </w:rPr>
        <w:t>Pr. Jean Costentin</w:t>
      </w:r>
    </w:p>
    <w:p w:rsidR="00975C47" w:rsidRDefault="00975C47" w:rsidP="00975C47">
      <w:pPr>
        <w:ind w:firstLine="708"/>
        <w:jc w:val="both"/>
        <w:rPr>
          <w:bCs/>
        </w:rPr>
      </w:pPr>
      <w:r w:rsidRPr="000C19B0">
        <w:rPr>
          <w:bCs/>
        </w:rPr>
        <w:t>Une substance progresse lentement, et semble-t-il sûrement, sur le chemin qui pourrait la faire accéder à la dignité du premier médicament de la dépendance au cannabis/THC. Ce serait, à plusieurs égards une véritable révolution thérapeutique </w:t>
      </w:r>
      <w:r>
        <w:rPr>
          <w:bCs/>
        </w:rPr>
        <w:t xml:space="preserve"> </w:t>
      </w:r>
      <w:r w:rsidRPr="000C19B0">
        <w:rPr>
          <w:bCs/>
        </w:rPr>
        <w:t xml:space="preserve">du </w:t>
      </w:r>
      <w:r w:rsidRPr="000C19B0">
        <w:rPr>
          <w:bCs/>
        </w:rPr>
        <w:t>fait : d’un mécanisme d’action totalement original ; d’un service médical rendu inégalé, puisque ce serait le seul médicam</w:t>
      </w:r>
      <w:r>
        <w:rPr>
          <w:bCs/>
        </w:rPr>
        <w:t>ent actif à cet égard ;  bénéficiant à</w:t>
      </w:r>
      <w:r w:rsidRPr="000C19B0">
        <w:rPr>
          <w:bCs/>
        </w:rPr>
        <w:t xml:space="preserve"> une population c</w:t>
      </w:r>
      <w:r>
        <w:rPr>
          <w:bCs/>
        </w:rPr>
        <w:t>roissante de sujets dépendants du THC, d</w:t>
      </w:r>
      <w:r w:rsidRPr="000C19B0">
        <w:rPr>
          <w:bCs/>
        </w:rPr>
        <w:t xml:space="preserve">u HHC (ou </w:t>
      </w:r>
      <w:proofErr w:type="spellStart"/>
      <w:r w:rsidRPr="000C19B0">
        <w:rPr>
          <w:bCs/>
        </w:rPr>
        <w:t>hexahydrocannabinol</w:t>
      </w:r>
      <w:proofErr w:type="spellEnd"/>
      <w:r w:rsidRPr="000C19B0">
        <w:rPr>
          <w:bCs/>
        </w:rPr>
        <w:t>)</w:t>
      </w:r>
      <w:r>
        <w:rPr>
          <w:bCs/>
        </w:rPr>
        <w:t xml:space="preserve"> dont l’usage explose et de</w:t>
      </w:r>
      <w:r w:rsidRPr="000C19B0">
        <w:rPr>
          <w:bCs/>
        </w:rPr>
        <w:t xml:space="preserve"> nombreux autres </w:t>
      </w:r>
      <w:proofErr w:type="spellStart"/>
      <w:r w:rsidRPr="000C19B0">
        <w:rPr>
          <w:bCs/>
        </w:rPr>
        <w:t>exocannabinoîdes</w:t>
      </w:r>
      <w:proofErr w:type="spellEnd"/>
      <w:r w:rsidRPr="000C19B0">
        <w:rPr>
          <w:bCs/>
        </w:rPr>
        <w:t xml:space="preserve"> de synthèse</w:t>
      </w:r>
      <w:r>
        <w:rPr>
          <w:bCs/>
        </w:rPr>
        <w:t>, dont il</w:t>
      </w:r>
      <w:r w:rsidRPr="000C19B0">
        <w:rPr>
          <w:bCs/>
        </w:rPr>
        <w:t xml:space="preserve"> </w:t>
      </w:r>
      <w:r>
        <w:rPr>
          <w:bCs/>
        </w:rPr>
        <w:t>apparaît presque</w:t>
      </w:r>
      <w:r w:rsidRPr="000C19B0">
        <w:rPr>
          <w:bCs/>
        </w:rPr>
        <w:t xml:space="preserve"> chaque mois</w:t>
      </w:r>
      <w:r>
        <w:rPr>
          <w:bCs/>
        </w:rPr>
        <w:t xml:space="preserve"> un nouveau représentant, se prévalant d’</w:t>
      </w:r>
      <w:r w:rsidRPr="000C19B0">
        <w:rPr>
          <w:bCs/>
        </w:rPr>
        <w:t xml:space="preserve">effets de plus en plus puissants (Buddha </w:t>
      </w:r>
      <w:proofErr w:type="spellStart"/>
      <w:r w:rsidRPr="000C19B0">
        <w:rPr>
          <w:bCs/>
        </w:rPr>
        <w:t>blu</w:t>
      </w:r>
      <w:proofErr w:type="spellEnd"/>
      <w:r w:rsidRPr="000C19B0">
        <w:rPr>
          <w:bCs/>
        </w:rPr>
        <w:t>, Pète ton crâne…),</w:t>
      </w:r>
      <w:r>
        <w:rPr>
          <w:bCs/>
        </w:rPr>
        <w:t xml:space="preserve"> lesquels</w:t>
      </w:r>
      <w:r w:rsidRPr="000C19B0">
        <w:rPr>
          <w:bCs/>
        </w:rPr>
        <w:t xml:space="preserve"> sont proposés sur le Net et</w:t>
      </w:r>
      <w:r>
        <w:rPr>
          <w:bCs/>
        </w:rPr>
        <w:t xml:space="preserve"> livrés à domicile par la Poste. </w:t>
      </w:r>
      <w:r w:rsidRPr="000C19B0">
        <w:rPr>
          <w:bCs/>
        </w:rPr>
        <w:t>Dans notre Nation qui est en Europe la toute première consommatrice de cannabis et qui paie un très lourd tribut à cette drogue (des points de vue économique, sanita</w:t>
      </w:r>
      <w:r>
        <w:rPr>
          <w:bCs/>
        </w:rPr>
        <w:t xml:space="preserve">ire, social, civilisationnel..) </w:t>
      </w:r>
      <w:r w:rsidRPr="000C19B0">
        <w:rPr>
          <w:bCs/>
        </w:rPr>
        <w:t>alors que des lobbies et des politiciens irresponsables poussent intensément en faveur de sa légalisation, on conçoi</w:t>
      </w:r>
      <w:r>
        <w:rPr>
          <w:bCs/>
        </w:rPr>
        <w:t>t toute l’importance qu’aurait c</w:t>
      </w:r>
      <w:r w:rsidRPr="000C19B0">
        <w:rPr>
          <w:bCs/>
        </w:rPr>
        <w:t>e premier médicament qui permettrait de faire rompre les usagers réguliers de cannabis (1.500.000 individus)  et les sujets intensément dépendants                   (1.000.000 d’individus) à cette drogue aux méfaits physiques et plus encore psych</w:t>
      </w:r>
      <w:r>
        <w:rPr>
          <w:bCs/>
        </w:rPr>
        <w:t>iques multiples.  Insistons</w:t>
      </w:r>
      <w:r w:rsidRPr="000C19B0">
        <w:rPr>
          <w:bCs/>
        </w:rPr>
        <w:t xml:space="preserve"> sur le fait qu’on est actuellement complètement démunis pour éloigner de cette </w:t>
      </w:r>
      <w:r w:rsidRPr="006E325B">
        <w:rPr>
          <w:bCs/>
        </w:rPr>
        <w:t>substance</w:t>
      </w:r>
      <w:r>
        <w:rPr>
          <w:bCs/>
        </w:rPr>
        <w:t xml:space="preserve"> </w:t>
      </w:r>
      <w:r w:rsidRPr="000C19B0">
        <w:rPr>
          <w:bCs/>
        </w:rPr>
        <w:t>les sujets qui en sont dépendants, ce qui aggrave considérablement la responsabilité de ce</w:t>
      </w:r>
      <w:r>
        <w:rPr>
          <w:bCs/>
        </w:rPr>
        <w:t>rtains addictologues</w:t>
      </w:r>
      <w:r w:rsidRPr="000C19B0">
        <w:rPr>
          <w:bCs/>
        </w:rPr>
        <w:t>, incapables de traiter cette addiction,</w:t>
      </w:r>
      <w:r>
        <w:rPr>
          <w:bCs/>
        </w:rPr>
        <w:t xml:space="preserve"> qui</w:t>
      </w:r>
      <w:r w:rsidRPr="000C19B0">
        <w:rPr>
          <w:bCs/>
        </w:rPr>
        <w:t xml:space="preserve"> se font les plus tonitruants défenseurs de sa légalisation.</w:t>
      </w:r>
      <w:r>
        <w:rPr>
          <w:bCs/>
        </w:rPr>
        <w:t xml:space="preserve"> </w:t>
      </w:r>
      <w:r w:rsidRPr="000C19B0">
        <w:rPr>
          <w:bCs/>
        </w:rPr>
        <w:t>Une équipe de chercheurs Bordelais, installés dans le « </w:t>
      </w:r>
      <w:proofErr w:type="spellStart"/>
      <w:r w:rsidRPr="000C19B0">
        <w:rPr>
          <w:bCs/>
        </w:rPr>
        <w:t>Neurocampus</w:t>
      </w:r>
      <w:proofErr w:type="spellEnd"/>
      <w:r w:rsidRPr="000C19B0">
        <w:rPr>
          <w:bCs/>
        </w:rPr>
        <w:t> »</w:t>
      </w:r>
      <w:r>
        <w:rPr>
          <w:bCs/>
        </w:rPr>
        <w:t xml:space="preserve">, avec son émanation, une </w:t>
      </w:r>
      <w:proofErr w:type="spellStart"/>
      <w:r>
        <w:rPr>
          <w:bCs/>
        </w:rPr>
        <w:t>star-</w:t>
      </w:r>
      <w:r w:rsidRPr="000C19B0">
        <w:rPr>
          <w:bCs/>
        </w:rPr>
        <w:t>up</w:t>
      </w:r>
      <w:proofErr w:type="spellEnd"/>
      <w:r w:rsidRPr="000C19B0">
        <w:rPr>
          <w:bCs/>
        </w:rPr>
        <w:t xml:space="preserve">, la société </w:t>
      </w:r>
      <w:proofErr w:type="spellStart"/>
      <w:r w:rsidRPr="000C19B0">
        <w:rPr>
          <w:bCs/>
        </w:rPr>
        <w:t>Aelis</w:t>
      </w:r>
      <w:proofErr w:type="spellEnd"/>
      <w:r w:rsidRPr="000C19B0">
        <w:rPr>
          <w:bCs/>
        </w:rPr>
        <w:t xml:space="preserve"> </w:t>
      </w:r>
      <w:proofErr w:type="spellStart"/>
      <w:r w:rsidRPr="000C19B0">
        <w:rPr>
          <w:bCs/>
        </w:rPr>
        <w:t>Farma</w:t>
      </w:r>
      <w:proofErr w:type="spellEnd"/>
      <w:r w:rsidRPr="000C19B0">
        <w:rPr>
          <w:bCs/>
        </w:rPr>
        <w:t>, s’emploient à développer ce médicament. A leur tête, le docteur Pier-</w:t>
      </w:r>
      <w:proofErr w:type="spellStart"/>
      <w:r w:rsidRPr="000C19B0">
        <w:rPr>
          <w:bCs/>
        </w:rPr>
        <w:t>Vicenzo</w:t>
      </w:r>
      <w:proofErr w:type="spellEnd"/>
      <w:r w:rsidRPr="000C19B0">
        <w:rPr>
          <w:bCs/>
        </w:rPr>
        <w:t xml:space="preserve"> Piazza, directeur de recherche de l’INSERM, directeur du </w:t>
      </w:r>
      <w:proofErr w:type="spellStart"/>
      <w:r w:rsidRPr="000C19B0">
        <w:rPr>
          <w:bCs/>
        </w:rPr>
        <w:t>Neurocentre</w:t>
      </w:r>
      <w:proofErr w:type="spellEnd"/>
      <w:r w:rsidRPr="000C19B0">
        <w:rPr>
          <w:bCs/>
        </w:rPr>
        <w:t xml:space="preserve"> Magendie et futur PDG d’</w:t>
      </w:r>
      <w:proofErr w:type="spellStart"/>
      <w:r w:rsidRPr="000C19B0">
        <w:rPr>
          <w:bCs/>
        </w:rPr>
        <w:t>Aelis</w:t>
      </w:r>
      <w:proofErr w:type="spellEnd"/>
      <w:r w:rsidRPr="000C19B0">
        <w:rPr>
          <w:bCs/>
        </w:rPr>
        <w:t xml:space="preserve"> </w:t>
      </w:r>
      <w:proofErr w:type="spellStart"/>
      <w:proofErr w:type="gramStart"/>
      <w:r w:rsidRPr="000C19B0">
        <w:rPr>
          <w:bCs/>
        </w:rPr>
        <w:t>Farma</w:t>
      </w:r>
      <w:proofErr w:type="spellEnd"/>
      <w:r w:rsidRPr="000C19B0">
        <w:rPr>
          <w:bCs/>
        </w:rPr>
        <w:t>.</w:t>
      </w:r>
      <w:r>
        <w:rPr>
          <w:bCs/>
        </w:rPr>
        <w:t>.</w:t>
      </w:r>
      <w:proofErr w:type="gramEnd"/>
      <w:r>
        <w:rPr>
          <w:bCs/>
        </w:rPr>
        <w:t xml:space="preserve"> </w:t>
      </w:r>
      <w:r w:rsidRPr="000C19B0">
        <w:rPr>
          <w:bCs/>
        </w:rPr>
        <w:t xml:space="preserve">Il a découvert, il y a une dizaine d’années, que l’administration de THC à des rats </w:t>
      </w:r>
      <w:r w:rsidRPr="00DB5673">
        <w:rPr>
          <w:bCs/>
        </w:rPr>
        <w:t>accroît</w:t>
      </w:r>
      <w:r w:rsidRPr="000C19B0">
        <w:rPr>
          <w:bCs/>
        </w:rPr>
        <w:t xml:space="preserve"> notablement la synthèse et partant la concentration d’un </w:t>
      </w:r>
      <w:proofErr w:type="spellStart"/>
      <w:r w:rsidRPr="000C19B0">
        <w:rPr>
          <w:bCs/>
        </w:rPr>
        <w:t>neurostéroïde</w:t>
      </w:r>
      <w:proofErr w:type="spellEnd"/>
      <w:r w:rsidRPr="000C19B0">
        <w:rPr>
          <w:bCs/>
        </w:rPr>
        <w:t>, la prégnénolone ; un dérivé du cholestérol, qui constitue un intermédiaire métabolique dans la synthèse (en particulier surrénalienne</w:t>
      </w:r>
      <w:r>
        <w:rPr>
          <w:bCs/>
        </w:rPr>
        <w:t>) des hormones corticoïdes</w:t>
      </w:r>
      <w:r w:rsidRPr="000C19B0">
        <w:rPr>
          <w:bCs/>
        </w:rPr>
        <w:t>. Testant l’hypothèse que cette prégnénolone pouvait agir comme un mécanisme endogène de protection contre une stimulation excessive des cibles biologiques que stimule le THC (à savoir les récepteurs cannabinoïdes de type 1 = CB</w:t>
      </w:r>
      <w:r w:rsidRPr="00E030D4">
        <w:rPr>
          <w:bCs/>
          <w:vertAlign w:val="subscript"/>
        </w:rPr>
        <w:t>1</w:t>
      </w:r>
      <w:r w:rsidRPr="000C19B0">
        <w:rPr>
          <w:bCs/>
        </w:rPr>
        <w:t xml:space="preserve">) ils constatèrent que l’administration de doses très élevées de prégnénolone réduisaient l’intensité de différents effets cérébraux du THC. Cela n’en faisait pas un médicament pour autant, car cette prégnénolone, administrée à la périphérie (dit trivialement « au </w:t>
      </w:r>
      <w:proofErr w:type="spellStart"/>
      <w:r w:rsidRPr="000C19B0">
        <w:rPr>
          <w:bCs/>
        </w:rPr>
        <w:t>rez</w:t>
      </w:r>
      <w:proofErr w:type="spellEnd"/>
      <w:r w:rsidRPr="000C19B0">
        <w:rPr>
          <w:bCs/>
        </w:rPr>
        <w:t xml:space="preserve"> de chaussée ») traverse mal la </w:t>
      </w:r>
      <w:r w:rsidRPr="000C19B0">
        <w:rPr>
          <w:bCs/>
        </w:rPr>
        <w:lastRenderedPageBreak/>
        <w:t xml:space="preserve">barrière hémato-encéphalique, sorte de frontière interposée entre le </w:t>
      </w:r>
      <w:proofErr w:type="spellStart"/>
      <w:r w:rsidRPr="000C19B0">
        <w:rPr>
          <w:bCs/>
        </w:rPr>
        <w:t>rez</w:t>
      </w:r>
      <w:proofErr w:type="spellEnd"/>
      <w:r w:rsidRPr="000C19B0">
        <w:rPr>
          <w:bCs/>
        </w:rPr>
        <w:t xml:space="preserve"> de chaussée et le « premier étage »</w:t>
      </w:r>
      <w:r>
        <w:rPr>
          <w:bCs/>
        </w:rPr>
        <w:t xml:space="preserve"> / </w:t>
      </w:r>
      <w:r w:rsidRPr="000C19B0">
        <w:rPr>
          <w:bCs/>
        </w:rPr>
        <w:t>le cerveau ; et ainsi ne per</w:t>
      </w:r>
      <w:r>
        <w:rPr>
          <w:bCs/>
        </w:rPr>
        <w:t>met pas d’atteindre</w:t>
      </w:r>
      <w:r w:rsidRPr="000C19B0">
        <w:rPr>
          <w:bCs/>
        </w:rPr>
        <w:t xml:space="preserve"> les concentrations cérébrales</w:t>
      </w:r>
      <w:r>
        <w:rPr>
          <w:bCs/>
        </w:rPr>
        <w:t xml:space="preserve"> qui sont</w:t>
      </w:r>
      <w:r w:rsidRPr="000C19B0">
        <w:rPr>
          <w:bCs/>
        </w:rPr>
        <w:t xml:space="preserve"> re</w:t>
      </w:r>
      <w:r w:rsidRPr="00854FF4">
        <w:rPr>
          <w:bCs/>
        </w:rPr>
        <w:t>quises</w:t>
      </w:r>
      <w:r w:rsidRPr="000C19B0">
        <w:rPr>
          <w:bCs/>
        </w:rPr>
        <w:t xml:space="preserve"> pour développer l’effet recherché. De plus cette prégnénolone est rapidement transformée</w:t>
      </w:r>
      <w:r>
        <w:rPr>
          <w:bCs/>
        </w:rPr>
        <w:t>/métabolisée,</w:t>
      </w:r>
      <w:r w:rsidRPr="000C19B0">
        <w:rPr>
          <w:bCs/>
        </w:rPr>
        <w:t xml:space="preserve"> </w:t>
      </w:r>
      <w:r w:rsidRPr="00854FF4">
        <w:rPr>
          <w:bCs/>
        </w:rPr>
        <w:t>abrégeant</w:t>
      </w:r>
      <w:r w:rsidRPr="000C19B0">
        <w:rPr>
          <w:bCs/>
        </w:rPr>
        <w:t xml:space="preserve"> sa durée d’action. Ceci étant</w:t>
      </w:r>
      <w:r>
        <w:rPr>
          <w:bCs/>
        </w:rPr>
        <w:t xml:space="preserve">, </w:t>
      </w:r>
      <w:r w:rsidRPr="000C19B0">
        <w:rPr>
          <w:bCs/>
        </w:rPr>
        <w:t>le concept se dessinait et invitait à s’inspirer de la prégnénolone pour développer une molécule agissant comme elle, capable de traverser aisément la barrière hémato-encéphalique et survivant durablement sous sa ou ses forme(s) active(s). Par une</w:t>
      </w:r>
      <w:r>
        <w:rPr>
          <w:bCs/>
        </w:rPr>
        <w:t xml:space="preserve"> recherche systématique</w:t>
      </w:r>
      <w:r w:rsidRPr="000C19B0">
        <w:rPr>
          <w:bCs/>
        </w:rPr>
        <w:t xml:space="preserve"> ces chercheurs sont arrivés à une molécule l’AEF01107.</w:t>
      </w:r>
      <w:r>
        <w:rPr>
          <w:bCs/>
        </w:rPr>
        <w:t xml:space="preserve"> </w:t>
      </w:r>
      <w:r w:rsidRPr="000C19B0">
        <w:rPr>
          <w:bCs/>
        </w:rPr>
        <w:t>Administrée même à très hautes doses, jusqu’à 1500 fois supérieures à la dose qui s’oppose aux effets du THC, cette molécule n’induirait pas d’effets intrinsèques. Ce qui donne à penser qu’elle n’affecterait pas les fonctions nombreuses et importantes qui sont dévolues aux endocannabinoïdes (substances endogènes, dérivées de l’acide arachidonique, qui stimulent d’une façon toute physiologique les récepteurs CB</w:t>
      </w:r>
      <w:r w:rsidRPr="000C19B0">
        <w:rPr>
          <w:bCs/>
          <w:vertAlign w:val="subscript"/>
        </w:rPr>
        <w:t>1</w:t>
      </w:r>
      <w:r w:rsidRPr="000C19B0">
        <w:rPr>
          <w:bCs/>
        </w:rPr>
        <w:t>). Ce point est très important, quand on sait qu’un antagoniste de ces récepteurs CB</w:t>
      </w:r>
      <w:r w:rsidRPr="000C19B0">
        <w:rPr>
          <w:bCs/>
          <w:vertAlign w:val="subscript"/>
        </w:rPr>
        <w:t>1</w:t>
      </w:r>
      <w:r w:rsidRPr="000C19B0">
        <w:rPr>
          <w:bCs/>
        </w:rPr>
        <w:t>, le rimonabant, qui fut commercialisé comme anorexigène et qui était indiqué chez les sujets diabétiques de type 2, présentant un surpoids et des facteurs de risque cardio-vasculaires, a dû être retiré du marché en raison de la survenue de dépression de l’humeur, avec même plusieurs tentatives de suicide; montrant, comme on le craignait, que ce n’est pas i</w:t>
      </w:r>
      <w:r>
        <w:rPr>
          <w:bCs/>
        </w:rPr>
        <w:t>mpunément que l’on attente aux</w:t>
      </w:r>
      <w:r w:rsidRPr="000C19B0">
        <w:rPr>
          <w:bCs/>
        </w:rPr>
        <w:t xml:space="preserve"> transmissions </w:t>
      </w:r>
      <w:proofErr w:type="spellStart"/>
      <w:r w:rsidRPr="000C19B0">
        <w:rPr>
          <w:bCs/>
        </w:rPr>
        <w:t>endocannabinoïdergiques</w:t>
      </w:r>
      <w:proofErr w:type="spellEnd"/>
      <w:r w:rsidRPr="000C19B0">
        <w:rPr>
          <w:bCs/>
        </w:rPr>
        <w:t xml:space="preserve">. En l’occurrence il semblerait que le mécanisme d’action de l’AEF0117 ne </w:t>
      </w:r>
      <w:r>
        <w:rPr>
          <w:bCs/>
        </w:rPr>
        <w:t>corresponde pas à un simple antagonism</w:t>
      </w:r>
      <w:r w:rsidRPr="000C19B0">
        <w:rPr>
          <w:bCs/>
        </w:rPr>
        <w:t>e des récepteurs CB</w:t>
      </w:r>
      <w:r w:rsidRPr="000C19B0">
        <w:rPr>
          <w:bCs/>
          <w:vertAlign w:val="subscript"/>
        </w:rPr>
        <w:t>1</w:t>
      </w:r>
      <w:r w:rsidRPr="000C19B0">
        <w:rPr>
          <w:bCs/>
        </w:rPr>
        <w:t>. Cette molécule fait l’objet d’essais cliniques aux U.S.A. sous la supervision de la F</w:t>
      </w:r>
      <w:r>
        <w:rPr>
          <w:bCs/>
        </w:rPr>
        <w:t xml:space="preserve">ood and </w:t>
      </w:r>
      <w:proofErr w:type="spellStart"/>
      <w:r>
        <w:rPr>
          <w:bCs/>
        </w:rPr>
        <w:t>drug</w:t>
      </w:r>
      <w:proofErr w:type="spellEnd"/>
      <w:r>
        <w:rPr>
          <w:bCs/>
        </w:rPr>
        <w:t xml:space="preserve"> administration. </w:t>
      </w:r>
      <w:r w:rsidRPr="000C19B0">
        <w:rPr>
          <w:bCs/>
        </w:rPr>
        <w:t>A ce stade du</w:t>
      </w:r>
      <w:r>
        <w:rPr>
          <w:bCs/>
        </w:rPr>
        <w:t xml:space="preserve"> développement</w:t>
      </w:r>
      <w:r w:rsidRPr="000C19B0">
        <w:rPr>
          <w:bCs/>
        </w:rPr>
        <w:t xml:space="preserve"> les promoteurs</w:t>
      </w:r>
      <w:r>
        <w:rPr>
          <w:bCs/>
        </w:rPr>
        <w:t xml:space="preserve"> espèrent une </w:t>
      </w:r>
      <w:r w:rsidRPr="000C19B0">
        <w:rPr>
          <w:bCs/>
        </w:rPr>
        <w:t>aut</w:t>
      </w:r>
      <w:r>
        <w:rPr>
          <w:bCs/>
        </w:rPr>
        <w:t>orisation de mise sur le marché</w:t>
      </w:r>
      <w:r w:rsidRPr="000C19B0">
        <w:rPr>
          <w:bCs/>
        </w:rPr>
        <w:t xml:space="preserve"> et un</w:t>
      </w:r>
      <w:r>
        <w:rPr>
          <w:bCs/>
        </w:rPr>
        <w:t>e commercialisation pour 2024. L</w:t>
      </w:r>
      <w:r w:rsidRPr="000C19B0">
        <w:rPr>
          <w:bCs/>
        </w:rPr>
        <w:t>es études princeps remontent à plus de 10 ans,</w:t>
      </w:r>
      <w:r>
        <w:rPr>
          <w:bCs/>
        </w:rPr>
        <w:t xml:space="preserve"> </w:t>
      </w:r>
      <w:r w:rsidRPr="000C19B0">
        <w:rPr>
          <w:bCs/>
        </w:rPr>
        <w:t>temps</w:t>
      </w:r>
      <w:r>
        <w:rPr>
          <w:bCs/>
        </w:rPr>
        <w:t xml:space="preserve"> fréquent</w:t>
      </w:r>
      <w:r w:rsidRPr="000C19B0">
        <w:rPr>
          <w:bCs/>
        </w:rPr>
        <w:t xml:space="preserve"> de gestation d’un médicament, quand il ne s’agit pas d’un « </w:t>
      </w:r>
      <w:r w:rsidRPr="000C19B0">
        <w:rPr>
          <w:bCs/>
          <w:i/>
        </w:rPr>
        <w:t xml:space="preserve">me </w:t>
      </w:r>
      <w:proofErr w:type="spellStart"/>
      <w:r w:rsidRPr="000C19B0">
        <w:rPr>
          <w:bCs/>
          <w:i/>
        </w:rPr>
        <w:t>too</w:t>
      </w:r>
      <w:proofErr w:type="spellEnd"/>
      <w:r w:rsidRPr="000C19B0">
        <w:rPr>
          <w:bCs/>
          <w:i/>
        </w:rPr>
        <w:t> </w:t>
      </w:r>
      <w:r w:rsidRPr="000C19B0">
        <w:rPr>
          <w:bCs/>
        </w:rPr>
        <w:t xml:space="preserve">», mais d’une véritable </w:t>
      </w:r>
      <w:r w:rsidRPr="004247A4">
        <w:rPr>
          <w:bCs/>
        </w:rPr>
        <w:t>innovation.</w:t>
      </w:r>
      <w:r w:rsidRPr="000C19B0">
        <w:rPr>
          <w:bCs/>
        </w:rPr>
        <w:t xml:space="preserve"> Elle pourrait sauver du marasme des centaines de milliers de </w:t>
      </w:r>
      <w:proofErr w:type="spellStart"/>
      <w:r>
        <w:rPr>
          <w:bCs/>
        </w:rPr>
        <w:t>cannabinophiles</w:t>
      </w:r>
      <w:proofErr w:type="spellEnd"/>
      <w:r w:rsidRPr="000C19B0">
        <w:rPr>
          <w:bCs/>
        </w:rPr>
        <w:t xml:space="preserve"> et sauver de l’indignité les irresponsables qui ont permis à ce piège de se tendre</w:t>
      </w:r>
      <w:r>
        <w:rPr>
          <w:bCs/>
        </w:rPr>
        <w:t>.</w:t>
      </w:r>
    </w:p>
    <w:p w:rsidR="00975C47" w:rsidRDefault="00975C47" w:rsidP="00975C47">
      <w:pPr>
        <w:ind w:firstLine="708"/>
        <w:jc w:val="both"/>
        <w:rPr>
          <w:bCs/>
        </w:rPr>
      </w:pPr>
    </w:p>
    <w:p w:rsidR="00975C47" w:rsidRPr="000C19B0" w:rsidRDefault="00975C47" w:rsidP="00975C47">
      <w:pPr>
        <w:ind w:firstLine="708"/>
        <w:jc w:val="both"/>
        <w:rPr>
          <w:bCs/>
        </w:rPr>
      </w:pPr>
    </w:p>
    <w:p w:rsidR="00975C47" w:rsidRPr="00F01805" w:rsidRDefault="00975C47" w:rsidP="00975C47">
      <w:pPr>
        <w:jc w:val="both"/>
      </w:pPr>
      <w:r w:rsidRPr="005631FD">
        <w:rPr>
          <w:b/>
          <w:iCs/>
          <w:color w:val="003333"/>
          <w:sz w:val="28"/>
          <w:szCs w:val="28"/>
        </w:rPr>
        <w:t>Les Blagounettes de la CXXXV</w:t>
      </w:r>
    </w:p>
    <w:p w:rsidR="00975C47" w:rsidRDefault="00975C47" w:rsidP="00975C47">
      <w:pPr>
        <w:rPr>
          <w:i/>
          <w:iCs/>
          <w:color w:val="003333"/>
        </w:rPr>
      </w:pPr>
      <w:r>
        <w:rPr>
          <w:i/>
          <w:iCs/>
          <w:color w:val="003333"/>
        </w:rPr>
        <w:t>L’alcool est très mauvais pour la circulation, les ivrognes sont souvent à l’origine de bouchons</w:t>
      </w:r>
    </w:p>
    <w:p w:rsidR="00975C47" w:rsidRDefault="00975C47" w:rsidP="00975C47">
      <w:pPr>
        <w:rPr>
          <w:i/>
          <w:iCs/>
          <w:color w:val="003333"/>
        </w:rPr>
      </w:pPr>
      <w:r>
        <w:rPr>
          <w:i/>
          <w:iCs/>
          <w:color w:val="003333"/>
        </w:rPr>
        <w:t xml:space="preserve">Le chanteur Renaut, </w:t>
      </w:r>
      <w:proofErr w:type="spellStart"/>
      <w:r>
        <w:rPr>
          <w:i/>
          <w:iCs/>
          <w:color w:val="003333"/>
        </w:rPr>
        <w:t>Séchan</w:t>
      </w:r>
      <w:proofErr w:type="spellEnd"/>
      <w:r>
        <w:rPr>
          <w:i/>
          <w:iCs/>
          <w:color w:val="003333"/>
        </w:rPr>
        <w:t xml:space="preserve"> (sans t) de son nom de famille, semble n’avoir pas souffert de la sécheresse</w:t>
      </w:r>
    </w:p>
    <w:p w:rsidR="00975C47" w:rsidRDefault="00975C47" w:rsidP="00975C47">
      <w:pPr>
        <w:rPr>
          <w:i/>
          <w:iCs/>
          <w:color w:val="003333"/>
        </w:rPr>
      </w:pPr>
      <w:r>
        <w:rPr>
          <w:i/>
          <w:iCs/>
          <w:color w:val="003333"/>
        </w:rPr>
        <w:t>« Docteur, le problème c’est pour moi à partir de combien de bières ? ». « C’est quand vous n’en avez plus dans votre réfrigérateur » !</w:t>
      </w:r>
    </w:p>
    <w:p w:rsidR="00975C47" w:rsidRDefault="00975C47" w:rsidP="00975C47">
      <w:pPr>
        <w:rPr>
          <w:i/>
          <w:iCs/>
          <w:color w:val="003333"/>
        </w:rPr>
      </w:pPr>
      <w:r>
        <w:rPr>
          <w:i/>
          <w:iCs/>
          <w:color w:val="003333"/>
        </w:rPr>
        <w:t>La Contrex, l’eau des divorcées</w:t>
      </w:r>
    </w:p>
    <w:p w:rsidR="00975C47" w:rsidRDefault="00975C47" w:rsidP="00975C47">
      <w:pPr>
        <w:rPr>
          <w:i/>
          <w:iCs/>
          <w:color w:val="003333"/>
        </w:rPr>
      </w:pPr>
      <w:r>
        <w:rPr>
          <w:i/>
          <w:iCs/>
          <w:color w:val="003333"/>
        </w:rPr>
        <w:t>Je suis venu, j’ai bu, je ne me souviens plus</w:t>
      </w:r>
    </w:p>
    <w:p w:rsidR="00975C47" w:rsidRDefault="00975C47" w:rsidP="00975C47">
      <w:pPr>
        <w:rPr>
          <w:i/>
          <w:iCs/>
          <w:color w:val="003333"/>
        </w:rPr>
      </w:pPr>
      <w:proofErr w:type="spellStart"/>
      <w:r>
        <w:rPr>
          <w:i/>
          <w:iCs/>
          <w:color w:val="003333"/>
        </w:rPr>
        <w:t>Veni</w:t>
      </w:r>
      <w:proofErr w:type="spellEnd"/>
      <w:r>
        <w:rPr>
          <w:i/>
          <w:iCs/>
          <w:color w:val="003333"/>
        </w:rPr>
        <w:t xml:space="preserve"> </w:t>
      </w:r>
      <w:proofErr w:type="spellStart"/>
      <w:r>
        <w:rPr>
          <w:i/>
          <w:iCs/>
          <w:color w:val="003333"/>
        </w:rPr>
        <w:t>vedi</w:t>
      </w:r>
      <w:proofErr w:type="spellEnd"/>
      <w:r>
        <w:rPr>
          <w:i/>
          <w:iCs/>
          <w:color w:val="003333"/>
        </w:rPr>
        <w:t xml:space="preserve"> </w:t>
      </w:r>
      <w:proofErr w:type="spellStart"/>
      <w:r>
        <w:rPr>
          <w:i/>
          <w:iCs/>
          <w:color w:val="003333"/>
        </w:rPr>
        <w:t>vici</w:t>
      </w:r>
      <w:proofErr w:type="spellEnd"/>
      <w:r>
        <w:rPr>
          <w:i/>
          <w:iCs/>
          <w:color w:val="003333"/>
        </w:rPr>
        <w:t>, que le cancre traduit Venez vider vessie</w:t>
      </w:r>
    </w:p>
    <w:p w:rsidR="00975C47" w:rsidRDefault="00975C47" w:rsidP="00975C47">
      <w:pPr>
        <w:rPr>
          <w:i/>
          <w:iCs/>
          <w:color w:val="003333"/>
        </w:rPr>
      </w:pPr>
      <w:r>
        <w:rPr>
          <w:i/>
          <w:iCs/>
          <w:color w:val="003333"/>
        </w:rPr>
        <w:t>Fini le temps où les filles cuisinaient comme leur mère ; maintenant elles picolent comme leur père</w:t>
      </w:r>
    </w:p>
    <w:p w:rsidR="00975C47" w:rsidRDefault="00975C47" w:rsidP="00975C47">
      <w:pPr>
        <w:rPr>
          <w:i/>
          <w:iCs/>
          <w:color w:val="003333"/>
        </w:rPr>
      </w:pPr>
      <w:r>
        <w:rPr>
          <w:i/>
          <w:iCs/>
          <w:color w:val="003333"/>
        </w:rPr>
        <w:t>L’alcoolo, un écolo économisant l’eau</w:t>
      </w:r>
    </w:p>
    <w:p w:rsidR="00975C47" w:rsidRDefault="00975C47" w:rsidP="00975C47">
      <w:pPr>
        <w:rPr>
          <w:i/>
          <w:iCs/>
          <w:color w:val="003333"/>
        </w:rPr>
      </w:pPr>
      <w:r>
        <w:rPr>
          <w:i/>
          <w:iCs/>
          <w:color w:val="003333"/>
        </w:rPr>
        <w:t>L’alcool est un dissolvant pour couples, amitiés, compte en banque, métier, sauf pour les problèmes</w:t>
      </w:r>
    </w:p>
    <w:p w:rsidR="00975C47" w:rsidRDefault="00975C47" w:rsidP="00975C47">
      <w:pPr>
        <w:rPr>
          <w:i/>
          <w:iCs/>
          <w:color w:val="003333"/>
        </w:rPr>
      </w:pPr>
      <w:r>
        <w:rPr>
          <w:i/>
          <w:iCs/>
          <w:color w:val="003333"/>
        </w:rPr>
        <w:t xml:space="preserve">Les sucreries sont </w:t>
      </w:r>
      <w:r>
        <w:rPr>
          <w:i/>
          <w:iCs/>
          <w:color w:val="003333"/>
        </w:rPr>
        <w:t>anti-stress</w:t>
      </w:r>
      <w:r>
        <w:rPr>
          <w:i/>
          <w:iCs/>
          <w:color w:val="003333"/>
        </w:rPr>
        <w:t xml:space="preserve">, d’ailleurs en anglais l’envers de </w:t>
      </w:r>
      <w:proofErr w:type="spellStart"/>
      <w:r>
        <w:rPr>
          <w:i/>
          <w:iCs/>
          <w:color w:val="003333"/>
        </w:rPr>
        <w:t>stressed</w:t>
      </w:r>
      <w:proofErr w:type="spellEnd"/>
      <w:r>
        <w:rPr>
          <w:i/>
          <w:iCs/>
          <w:color w:val="003333"/>
        </w:rPr>
        <w:t xml:space="preserve"> est dessert</w:t>
      </w:r>
    </w:p>
    <w:p w:rsidR="00975C47" w:rsidRDefault="00975C47" w:rsidP="00975C47">
      <w:pPr>
        <w:rPr>
          <w:i/>
          <w:iCs/>
          <w:color w:val="003333"/>
        </w:rPr>
      </w:pPr>
      <w:r>
        <w:rPr>
          <w:i/>
          <w:iCs/>
          <w:color w:val="003333"/>
        </w:rPr>
        <w:t xml:space="preserve">Fumer une clope c’est goudronner son chemin vers l’éternité ; fumer de l’herbe c’est planter de la pelouse sur les </w:t>
      </w:r>
      <w:r>
        <w:rPr>
          <w:i/>
          <w:iCs/>
          <w:color w:val="003333"/>
        </w:rPr>
        <w:t>bas-côtés</w:t>
      </w:r>
    </w:p>
    <w:p w:rsidR="00975C47" w:rsidRPr="00C451A3" w:rsidRDefault="00975C47" w:rsidP="00975C47">
      <w:pPr>
        <w:widowControl w:val="0"/>
        <w:autoSpaceDE w:val="0"/>
        <w:autoSpaceDN w:val="0"/>
        <w:adjustRightInd w:val="0"/>
        <w:rPr>
          <w:rFonts w:cs="Helvetica"/>
          <w:i/>
          <w:color w:val="0E0E0E"/>
        </w:rPr>
      </w:pPr>
      <w:r w:rsidRPr="00C451A3">
        <w:rPr>
          <w:rFonts w:cs="Helvetica"/>
          <w:i/>
          <w:color w:val="0E0E0E"/>
        </w:rPr>
        <w:t>L’alcool est un ennemi ; or celui qui recule devant l’ennemi est un lâche</w:t>
      </w:r>
    </w:p>
    <w:p w:rsidR="00975C47" w:rsidRPr="00C451A3" w:rsidRDefault="00975C47" w:rsidP="00975C47">
      <w:pPr>
        <w:widowControl w:val="0"/>
        <w:autoSpaceDE w:val="0"/>
        <w:autoSpaceDN w:val="0"/>
        <w:adjustRightInd w:val="0"/>
        <w:rPr>
          <w:rFonts w:cs="Helvetica"/>
          <w:i/>
          <w:color w:val="0E0E0E"/>
        </w:rPr>
      </w:pPr>
      <w:r w:rsidRPr="00C451A3">
        <w:rPr>
          <w:rFonts w:cs="Helvetica"/>
          <w:i/>
          <w:color w:val="0E0E0E"/>
        </w:rPr>
        <w:t>Quand on serre une femme de trop près elle trouve que l’on va trop loin ; faudrait savoir</w:t>
      </w:r>
    </w:p>
    <w:p w:rsidR="00975C47" w:rsidRDefault="00975C47" w:rsidP="00975C47">
      <w:pPr>
        <w:widowControl w:val="0"/>
        <w:autoSpaceDE w:val="0"/>
        <w:autoSpaceDN w:val="0"/>
        <w:adjustRightInd w:val="0"/>
        <w:rPr>
          <w:rFonts w:cs="Helvetica"/>
          <w:i/>
          <w:color w:val="0E0E0E"/>
        </w:rPr>
      </w:pPr>
      <w:r w:rsidRPr="00C451A3">
        <w:rPr>
          <w:rFonts w:cs="Helvetica"/>
          <w:i/>
          <w:color w:val="0E0E0E"/>
        </w:rPr>
        <w:t>Le sommelier</w:t>
      </w:r>
      <w:r>
        <w:rPr>
          <w:rFonts w:cs="Helvetica"/>
          <w:i/>
          <w:color w:val="0E0E0E"/>
        </w:rPr>
        <w:t xml:space="preserve"> de l’</w:t>
      </w:r>
      <w:proofErr w:type="spellStart"/>
      <w:r>
        <w:rPr>
          <w:rFonts w:cs="Helvetica"/>
          <w:i/>
          <w:color w:val="0E0E0E"/>
        </w:rPr>
        <w:t>Elysée</w:t>
      </w:r>
      <w:proofErr w:type="spellEnd"/>
      <w:r w:rsidRPr="00C451A3">
        <w:rPr>
          <w:rFonts w:cs="Helvetica"/>
          <w:i/>
          <w:color w:val="0E0E0E"/>
        </w:rPr>
        <w:t xml:space="preserve"> : « avez-vous déjà vu le Macon </w:t>
      </w:r>
      <w:proofErr w:type="spellStart"/>
      <w:r w:rsidRPr="00C451A3">
        <w:rPr>
          <w:rFonts w:cs="Helvetica"/>
          <w:i/>
          <w:color w:val="0E0E0E"/>
        </w:rPr>
        <w:t>Prissey</w:t>
      </w:r>
      <w:proofErr w:type="spellEnd"/>
      <w:r w:rsidRPr="00C451A3">
        <w:rPr>
          <w:rFonts w:cs="Helvetica"/>
          <w:i/>
          <w:color w:val="0E0E0E"/>
        </w:rPr>
        <w:t> ?»</w:t>
      </w:r>
    </w:p>
    <w:p w:rsidR="00975C47" w:rsidRDefault="00975C47" w:rsidP="00975C47">
      <w:pPr>
        <w:widowControl w:val="0"/>
        <w:autoSpaceDE w:val="0"/>
        <w:autoSpaceDN w:val="0"/>
        <w:adjustRightInd w:val="0"/>
        <w:rPr>
          <w:rFonts w:cs="Helvetica"/>
          <w:i/>
          <w:color w:val="0E0E0E"/>
        </w:rPr>
      </w:pPr>
      <w:r>
        <w:rPr>
          <w:rFonts w:cs="Helvetica"/>
          <w:i/>
          <w:color w:val="0E0E0E"/>
        </w:rPr>
        <w:t xml:space="preserve">« Docteur, après avoir bu de l’eau ma démarche est ébrieuse » ; « Venez, donnez-moi le </w:t>
      </w:r>
      <w:r>
        <w:rPr>
          <w:rFonts w:cs="Helvetica"/>
          <w:i/>
          <w:color w:val="0E0E0E"/>
        </w:rPr>
        <w:t>bras, c’est</w:t>
      </w:r>
      <w:r>
        <w:rPr>
          <w:rFonts w:cs="Helvetica"/>
          <w:i/>
          <w:color w:val="0E0E0E"/>
        </w:rPr>
        <w:t xml:space="preserve"> l’heure de l’apéritif »</w:t>
      </w:r>
    </w:p>
    <w:p w:rsidR="00975C47" w:rsidRDefault="00975C47" w:rsidP="00975C47">
      <w:pPr>
        <w:widowControl w:val="0"/>
        <w:autoSpaceDE w:val="0"/>
        <w:autoSpaceDN w:val="0"/>
        <w:adjustRightInd w:val="0"/>
        <w:rPr>
          <w:rFonts w:cs="Helvetica"/>
          <w:i/>
          <w:color w:val="0E0E0E"/>
        </w:rPr>
      </w:pPr>
    </w:p>
    <w:p w:rsidR="00975C47" w:rsidRPr="00B56327" w:rsidRDefault="00975C47" w:rsidP="00975C47">
      <w:pPr>
        <w:spacing w:after="0" w:line="240" w:lineRule="auto"/>
        <w:jc w:val="center"/>
        <w:rPr>
          <w:rFonts w:ascii="Cambria" w:eastAsia="MS Mincho" w:hAnsi="Cambria"/>
          <w:b/>
          <w:bCs/>
          <w:sz w:val="32"/>
          <w:szCs w:val="32"/>
          <w:lang w:eastAsia="fr-FR"/>
        </w:rPr>
      </w:pPr>
      <w:r w:rsidRPr="00B56327">
        <w:rPr>
          <w:rFonts w:ascii="Cambria" w:eastAsia="MS Mincho" w:hAnsi="Cambria"/>
          <w:b/>
          <w:bCs/>
          <w:sz w:val="32"/>
          <w:szCs w:val="32"/>
          <w:lang w:eastAsia="fr-FR"/>
        </w:rPr>
        <w:t>Inscrivez-vous au blog du CNPERT</w:t>
      </w:r>
    </w:p>
    <w:p w:rsidR="00975C47" w:rsidRPr="002311DE" w:rsidRDefault="00975C47" w:rsidP="00975C47">
      <w:pPr>
        <w:spacing w:after="0" w:line="240" w:lineRule="auto"/>
        <w:ind w:firstLine="708"/>
        <w:jc w:val="center"/>
        <w:rPr>
          <w:rFonts w:ascii="Cambria" w:eastAsia="MS Mincho" w:hAnsi="Cambria"/>
          <w:sz w:val="32"/>
          <w:szCs w:val="32"/>
          <w:highlight w:val="yellow"/>
          <w:lang w:eastAsia="fr-FR"/>
        </w:rPr>
      </w:pPr>
      <w:r w:rsidRPr="00B56327">
        <w:rPr>
          <w:rFonts w:ascii="Cambria" w:eastAsia="MS Mincho" w:hAnsi="Cambria"/>
          <w:b/>
          <w:bCs/>
          <w:sz w:val="32"/>
          <w:szCs w:val="32"/>
          <w:lang w:eastAsia="fr-FR"/>
        </w:rPr>
        <w:t xml:space="preserve">« </w:t>
      </w:r>
      <w:proofErr w:type="gramStart"/>
      <w:r w:rsidRPr="00B56327">
        <w:rPr>
          <w:rFonts w:ascii="Cambria" w:eastAsia="MS Mincho" w:hAnsi="Cambria"/>
          <w:b/>
          <w:bCs/>
          <w:sz w:val="32"/>
          <w:szCs w:val="32"/>
          <w:lang w:eastAsia="fr-FR"/>
        </w:rPr>
        <w:t>drogaddiction.com</w:t>
      </w:r>
      <w:proofErr w:type="gramEnd"/>
      <w:r w:rsidRPr="00B56327">
        <w:rPr>
          <w:rFonts w:ascii="Cambria" w:eastAsia="MS Mincho" w:hAnsi="Cambria"/>
          <w:b/>
          <w:bCs/>
          <w:sz w:val="32"/>
          <w:szCs w:val="32"/>
          <w:lang w:eastAsia="fr-FR"/>
        </w:rPr>
        <w:t xml:space="preserve"> ».</w:t>
      </w:r>
    </w:p>
    <w:p w:rsidR="00975C47" w:rsidRPr="007A7B24" w:rsidRDefault="00975C47" w:rsidP="00975C47">
      <w:pPr>
        <w:spacing w:after="0" w:line="240" w:lineRule="auto"/>
        <w:jc w:val="center"/>
        <w:rPr>
          <w:rFonts w:ascii="Cambria" w:eastAsia="MS Mincho" w:hAnsi="Cambria"/>
          <w:b/>
          <w:bCs/>
          <w:i/>
          <w:sz w:val="24"/>
          <w:szCs w:val="24"/>
          <w:lang w:eastAsia="fr-FR"/>
        </w:rPr>
      </w:pPr>
      <w:r w:rsidRPr="00B56327">
        <w:rPr>
          <w:rFonts w:ascii="Cambria" w:eastAsia="MS Mincho" w:hAnsi="Cambria"/>
          <w:b/>
          <w:bCs/>
          <w:i/>
          <w:sz w:val="24"/>
          <w:szCs w:val="24"/>
          <w:lang w:eastAsia="fr-FR"/>
        </w:rPr>
        <w:t>Vous serez informé des tous nouveaux messages que nous y introduisons, pour votre information sur les drogues et les toxicomanies</w:t>
      </w:r>
    </w:p>
    <w:p w:rsidR="00C026B3" w:rsidRDefault="00C026B3"/>
    <w:sectPr w:rsidR="00C026B3" w:rsidSect="00F60479">
      <w:type w:val="continuous"/>
      <w:pgSz w:w="11906" w:h="16838"/>
      <w:pgMar w:top="720" w:right="720" w:bottom="720" w:left="851" w:header="708" w:footer="708" w:gutter="0"/>
      <w:cols w:num="2" w:space="720"/>
      <w:docGrid w:linePitch="326"/>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imes">
    <w:panose1 w:val="00000500000000020000"/>
    <w:charset w:val="00"/>
    <w:family w:val="auto"/>
    <w:pitch w:val="variable"/>
    <w:sig w:usb0="E00002FF" w:usb1="5000205A" w:usb2="00000000" w:usb3="00000000" w:csb0="000001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Helvetica">
    <w:panose1 w:val="00000000000000000000"/>
    <w:charset w:val="00"/>
    <w:family w:val="auto"/>
    <w:pitch w:val="variable"/>
    <w:sig w:usb0="E00002FF" w:usb1="5000785B" w:usb2="0000000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000000" w:rsidRDefault="00000000">
    <w:pPr>
      <w:pStyle w:val="Pieddepage"/>
      <w:jc w:val="right"/>
    </w:pPr>
    <w:r>
      <w:fldChar w:fldCharType="begin"/>
    </w:r>
    <w:r>
      <w:instrText>PAGE</w:instrText>
    </w:r>
    <w:r>
      <w:instrText xml:space="preserve">   \* MERGEFORMAT</w:instrText>
    </w:r>
    <w:r>
      <w:fldChar w:fldCharType="separate"/>
    </w:r>
    <w:r>
      <w:rPr>
        <w:noProof/>
      </w:rPr>
      <w:t>8</w:t>
    </w:r>
    <w:r>
      <w:fldChar w:fldCharType="end"/>
    </w:r>
  </w:p>
  <w:p w:rsidR="00000000" w:rsidRDefault="00000000">
    <w:pPr>
      <w:pStyle w:val="Pieddepage"/>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29"/>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75C47"/>
    <w:rsid w:val="00975C47"/>
    <w:rsid w:val="00C026B3"/>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AE00DD6"/>
  <w15:chartTrackingRefBased/>
  <w15:docId w15:val="{602072B2-74F5-4549-B086-C894CD500E4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fr-FR"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75C47"/>
    <w:pPr>
      <w:spacing w:after="160" w:line="259" w:lineRule="auto"/>
    </w:pPr>
    <w:rPr>
      <w:rFonts w:ascii="Calibri" w:eastAsia="Calibri" w:hAnsi="Calibri" w:cs="Times New Roman"/>
      <w:kern w:val="0"/>
      <w:sz w:val="22"/>
      <w:szCs w:val="22"/>
      <w14:ligatures w14:val="none"/>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Pieddepage">
    <w:name w:val="footer"/>
    <w:basedOn w:val="Normal"/>
    <w:link w:val="PieddepageCar"/>
    <w:uiPriority w:val="99"/>
    <w:unhideWhenUsed/>
    <w:rsid w:val="00975C47"/>
    <w:pPr>
      <w:tabs>
        <w:tab w:val="center" w:pos="4536"/>
        <w:tab w:val="right" w:pos="9072"/>
      </w:tabs>
      <w:spacing w:after="0" w:line="240" w:lineRule="auto"/>
    </w:pPr>
  </w:style>
  <w:style w:type="character" w:customStyle="1" w:styleId="PieddepageCar">
    <w:name w:val="Pied de page Car"/>
    <w:basedOn w:val="Policepardfaut"/>
    <w:link w:val="Pieddepage"/>
    <w:uiPriority w:val="99"/>
    <w:rsid w:val="00975C47"/>
    <w:rPr>
      <w:rFonts w:ascii="Calibri" w:eastAsia="Calibri" w:hAnsi="Calibri" w:cs="Times New Roman"/>
      <w:kern w:val="0"/>
      <w:sz w:val="22"/>
      <w:szCs w:val="22"/>
      <w14:ligatures w14:val="none"/>
    </w:rPr>
  </w:style>
  <w:style w:type="paragraph" w:styleId="NormalWeb">
    <w:name w:val="Normal (Web)"/>
    <w:basedOn w:val="Normal"/>
    <w:uiPriority w:val="99"/>
    <w:unhideWhenUsed/>
    <w:rsid w:val="00975C47"/>
    <w:pPr>
      <w:spacing w:before="100" w:beforeAutospacing="1" w:after="100" w:afterAutospacing="1" w:line="240" w:lineRule="auto"/>
    </w:pPr>
    <w:rPr>
      <w:rFonts w:ascii="Times" w:hAnsi="Times"/>
      <w:sz w:val="20"/>
      <w:szCs w:val="20"/>
      <w:lang w:eastAsia="fr-FR"/>
    </w:rPr>
  </w:style>
  <w:style w:type="character" w:styleId="Accentuation">
    <w:name w:val="Emphasis"/>
    <w:uiPriority w:val="20"/>
    <w:qFormat/>
    <w:rsid w:val="00975C47"/>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2.jpeg"/><Relationship Id="rId5" Type="http://schemas.openxmlformats.org/officeDocument/2006/relationships/footer" Target="footer1.xml"/><Relationship Id="rId4" Type="http://schemas.openxmlformats.org/officeDocument/2006/relationships/image" Target="media/image1.jpeg"/></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8</Pages>
  <Words>5642</Words>
  <Characters>31031</Characters>
  <Application>Microsoft Office Word</Application>
  <DocSecurity>0</DocSecurity>
  <Lines>258</Lines>
  <Paragraphs>73</Paragraphs>
  <ScaleCrop>false</ScaleCrop>
  <Company/>
  <LinksUpToDate>false</LinksUpToDate>
  <CharactersWithSpaces>36600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Jean Costentin</dc:creator>
  <cp:keywords/>
  <dc:description/>
  <cp:lastModifiedBy>Jean Costentin</cp:lastModifiedBy>
  <cp:revision>1</cp:revision>
  <dcterms:created xsi:type="dcterms:W3CDTF">2023-07-14T15:20:00Z</dcterms:created>
  <dcterms:modified xsi:type="dcterms:W3CDTF">2023-07-14T15:22:00Z</dcterms:modified>
</cp:coreProperties>
</file>